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D7" w:rsidRPr="00FE447F" w:rsidRDefault="00A27093" w:rsidP="006806D7">
      <w:pPr>
        <w:pStyle w:val="Caption"/>
        <w:keepNext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E447F">
        <w:rPr>
          <w:rFonts w:ascii="Times New Roman" w:hAnsi="Times New Roman" w:cs="Times New Roman"/>
          <w:color w:val="auto"/>
          <w:sz w:val="20"/>
          <w:szCs w:val="20"/>
        </w:rPr>
        <w:t xml:space="preserve">     TABLE </w:t>
      </w:r>
      <w:r w:rsidR="00C811B9" w:rsidRPr="00FE447F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="006806D7" w:rsidRPr="00FE447F">
        <w:rPr>
          <w:rFonts w:ascii="Times New Roman" w:hAnsi="Times New Roman" w:cs="Times New Roman"/>
          <w:color w:val="auto"/>
          <w:sz w:val="20"/>
          <w:szCs w:val="20"/>
        </w:rPr>
        <w:instrText xml:space="preserve"> SEQ Table \* ARABIC </w:instrText>
      </w:r>
      <w:r w:rsidR="00C811B9" w:rsidRPr="00FE447F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FE447F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="00C811B9" w:rsidRPr="00FE447F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FE447F">
        <w:rPr>
          <w:rFonts w:ascii="Times New Roman" w:hAnsi="Times New Roman" w:cs="Times New Roman"/>
          <w:color w:val="auto"/>
          <w:sz w:val="20"/>
          <w:szCs w:val="20"/>
        </w:rPr>
        <w:t>: SUMMARY OF THE ARTICLES FOR SCOPING REVIEW</w:t>
      </w:r>
    </w:p>
    <w:tbl>
      <w:tblPr>
        <w:tblStyle w:val="TableGrid"/>
        <w:tblW w:w="14910" w:type="dxa"/>
        <w:tblInd w:w="-743" w:type="dxa"/>
        <w:tblLayout w:type="fixed"/>
        <w:tblLook w:val="04A0"/>
      </w:tblPr>
      <w:tblGrid>
        <w:gridCol w:w="401"/>
        <w:gridCol w:w="1080"/>
        <w:gridCol w:w="1260"/>
        <w:gridCol w:w="1890"/>
        <w:gridCol w:w="2741"/>
        <w:gridCol w:w="769"/>
        <w:gridCol w:w="1260"/>
        <w:gridCol w:w="1350"/>
        <w:gridCol w:w="1440"/>
        <w:gridCol w:w="1080"/>
        <w:gridCol w:w="1639"/>
      </w:tblGrid>
      <w:tr w:rsidR="006806D7" w:rsidRPr="00FE447F" w:rsidTr="007C42F8">
        <w:tc>
          <w:tcPr>
            <w:tcW w:w="401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108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RESEARCHERS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SUBJECTS</w:t>
            </w:r>
          </w:p>
        </w:tc>
        <w:tc>
          <w:tcPr>
            <w:tcW w:w="189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2741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PATIENTS’/RESULTS OUTCOME</w:t>
            </w:r>
          </w:p>
        </w:tc>
        <w:tc>
          <w:tcPr>
            <w:tcW w:w="769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PUBLICATION YEAR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JOURNAL</w:t>
            </w:r>
          </w:p>
        </w:tc>
        <w:tc>
          <w:tcPr>
            <w:tcW w:w="135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STUDY COUNTRY</w:t>
            </w:r>
          </w:p>
        </w:tc>
        <w:tc>
          <w:tcPr>
            <w:tcW w:w="144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PUBLICATION COUNTRY</w:t>
            </w:r>
          </w:p>
        </w:tc>
        <w:tc>
          <w:tcPr>
            <w:tcW w:w="108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STUDY DESIGN</w:t>
            </w:r>
          </w:p>
        </w:tc>
        <w:tc>
          <w:tcPr>
            <w:tcW w:w="1639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</w:tr>
      <w:tr w:rsidR="006806D7" w:rsidRPr="00FE447F" w:rsidTr="007C42F8">
        <w:tc>
          <w:tcPr>
            <w:tcW w:w="401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0" w:type="dxa"/>
          </w:tcPr>
          <w:p w:rsidR="006806D7" w:rsidRPr="00FE447F" w:rsidRDefault="00FE447F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Medical Doctor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MOTHERS</w:t>
            </w:r>
          </w:p>
        </w:tc>
        <w:tc>
          <w:tcPr>
            <w:tcW w:w="1890" w:type="dxa"/>
          </w:tcPr>
          <w:p w:rsidR="006806D7" w:rsidRPr="00FE447F" w:rsidRDefault="007E63E4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HERBAL CONCOCTIONS.</w:t>
            </w:r>
          </w:p>
        </w:tc>
        <w:tc>
          <w:tcPr>
            <w:tcW w:w="2741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Nigerian mothers are deficient in their knowledge of colic. Self-medication was the most frequently used home-based intervention</w:t>
            </w:r>
          </w:p>
        </w:tc>
        <w:tc>
          <w:tcPr>
            <w:tcW w:w="769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BMC PAEDATRICS</w:t>
            </w:r>
          </w:p>
        </w:tc>
        <w:tc>
          <w:tcPr>
            <w:tcW w:w="135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NIGERIA</w:t>
            </w:r>
          </w:p>
        </w:tc>
        <w:tc>
          <w:tcPr>
            <w:tcW w:w="144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NIGERIA</w:t>
            </w:r>
          </w:p>
        </w:tc>
        <w:tc>
          <w:tcPr>
            <w:tcW w:w="108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DESCRIPTIVE</w:t>
            </w:r>
          </w:p>
        </w:tc>
        <w:tc>
          <w:tcPr>
            <w:tcW w:w="1639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 Self-medication for infants with colic in Lagos, Nigeria</w:t>
            </w:r>
          </w:p>
        </w:tc>
      </w:tr>
      <w:tr w:rsidR="006806D7" w:rsidRPr="00FE447F" w:rsidTr="007C42F8">
        <w:tc>
          <w:tcPr>
            <w:tcW w:w="401" w:type="dxa"/>
          </w:tcPr>
          <w:p w:rsidR="006806D7" w:rsidRPr="00FE447F" w:rsidRDefault="00FE447F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8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E447F" w:rsidRPr="00FE447F">
              <w:rPr>
                <w:rFonts w:ascii="Times New Roman" w:hAnsi="Times New Roman" w:cs="Times New Roman"/>
                <w:sz w:val="20"/>
                <w:szCs w:val="20"/>
              </w:rPr>
              <w:t>urses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INFANTS</w:t>
            </w:r>
          </w:p>
        </w:tc>
        <w:tc>
          <w:tcPr>
            <w:tcW w:w="189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MASSAGE, SUCROSE SOLUTION, HERBAL TEA OR HYDROLYSED FORMULA</w:t>
            </w:r>
          </w:p>
        </w:tc>
        <w:tc>
          <w:tcPr>
            <w:tcW w:w="2741" w:type="dxa"/>
          </w:tcPr>
          <w:p w:rsidR="006806D7" w:rsidRPr="00FE447F" w:rsidRDefault="006806D7" w:rsidP="006806D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administration</w:t>
            </w:r>
            <w:proofErr w:type="gram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of massage, sucrose solution, herbal tea and hydrolysed formula are effective in the treatment of colic.</w:t>
            </w:r>
          </w:p>
          <w:p w:rsidR="006806D7" w:rsidRPr="00FE447F" w:rsidRDefault="006806D7" w:rsidP="00680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Hydrolysed formula was the most effective in reducing the duration of crying (hours/day</w:t>
            </w:r>
          </w:p>
        </w:tc>
        <w:tc>
          <w:tcPr>
            <w:tcW w:w="769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JOURNAL OF CLINICAL NURSING</w:t>
            </w:r>
          </w:p>
        </w:tc>
        <w:tc>
          <w:tcPr>
            <w:tcW w:w="135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144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108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RCT</w:t>
            </w:r>
          </w:p>
        </w:tc>
        <w:tc>
          <w:tcPr>
            <w:tcW w:w="1639" w:type="dxa"/>
          </w:tcPr>
          <w:p w:rsidR="006806D7" w:rsidRPr="00FE447F" w:rsidRDefault="006806D7" w:rsidP="006806D7">
            <w:pPr>
              <w:pStyle w:val="Heading1"/>
              <w:shd w:val="clear" w:color="auto" w:fill="FFFFFF"/>
              <w:spacing w:before="90" w:beforeAutospacing="0" w:after="90" w:afterAutospacing="0" w:line="270" w:lineRule="atLeast"/>
              <w:outlineLvl w:val="0"/>
              <w:rPr>
                <w:b w:val="0"/>
                <w:sz w:val="20"/>
                <w:szCs w:val="20"/>
              </w:rPr>
            </w:pPr>
            <w:r w:rsidRPr="00FE447F">
              <w:rPr>
                <w:b w:val="0"/>
                <w:sz w:val="20"/>
                <w:szCs w:val="20"/>
              </w:rPr>
              <w:t xml:space="preserve">Effectiveness of massage, sucrose solution, herbal tea or 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hydrolysed</w:t>
            </w:r>
            <w:proofErr w:type="spellEnd"/>
            <w:r w:rsidRPr="00FE447F">
              <w:rPr>
                <w:b w:val="0"/>
                <w:sz w:val="20"/>
                <w:szCs w:val="20"/>
              </w:rPr>
              <w:t xml:space="preserve"> formula in the treatment of infantile colic</w:t>
            </w:r>
          </w:p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6D7" w:rsidRPr="00FE447F" w:rsidTr="007C42F8">
        <w:tc>
          <w:tcPr>
            <w:tcW w:w="401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080" w:type="dxa"/>
          </w:tcPr>
          <w:p w:rsidR="006806D7" w:rsidRPr="00FE447F" w:rsidRDefault="00FE447F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Medical Doctor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INFANTS</w:t>
            </w:r>
          </w:p>
        </w:tc>
        <w:tc>
          <w:tcPr>
            <w:tcW w:w="1890" w:type="dxa"/>
          </w:tcPr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MASSAGE AND ROCKING</w:t>
            </w:r>
          </w:p>
        </w:tc>
        <w:tc>
          <w:tcPr>
            <w:tcW w:w="2741" w:type="dxa"/>
          </w:tcPr>
          <w:p w:rsidR="006806D7" w:rsidRPr="00FE447F" w:rsidRDefault="000A5861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Massage therapy is more effective than rocking for treating infant colic symptoms</w:t>
            </w:r>
          </w:p>
        </w:tc>
        <w:tc>
          <w:tcPr>
            <w:tcW w:w="769" w:type="dxa"/>
          </w:tcPr>
          <w:p w:rsidR="000A5861" w:rsidRPr="00FE447F" w:rsidRDefault="000A5861" w:rsidP="000A58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2016</w:t>
            </w:r>
          </w:p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A5861" w:rsidRPr="00FE447F" w:rsidRDefault="00FE447F" w:rsidP="000A5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Medical </w:t>
            </w:r>
            <w:r w:rsidR="000A5861"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</w:t>
            </w: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ournal of </w:t>
            </w:r>
            <w:r w:rsidR="000A5861"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</w:t>
            </w: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slamic republic of Iran</w:t>
            </w:r>
          </w:p>
        </w:tc>
        <w:tc>
          <w:tcPr>
            <w:tcW w:w="1350" w:type="dxa"/>
          </w:tcPr>
          <w:p w:rsidR="006806D7" w:rsidRPr="00FE447F" w:rsidRDefault="000A5861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1440" w:type="dxa"/>
          </w:tcPr>
          <w:p w:rsidR="006806D7" w:rsidRPr="00FE447F" w:rsidRDefault="000A5861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1080" w:type="dxa"/>
          </w:tcPr>
          <w:p w:rsidR="006806D7" w:rsidRPr="00FE447F" w:rsidRDefault="000A5861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RCT</w:t>
            </w:r>
          </w:p>
        </w:tc>
        <w:tc>
          <w:tcPr>
            <w:tcW w:w="1639" w:type="dxa"/>
          </w:tcPr>
          <w:p w:rsidR="006806D7" w:rsidRPr="00FE447F" w:rsidRDefault="006806D7" w:rsidP="006806D7">
            <w:pPr>
              <w:pStyle w:val="Heading1"/>
              <w:shd w:val="clear" w:color="auto" w:fill="FFFFFF"/>
              <w:spacing w:before="90" w:beforeAutospacing="0" w:after="90" w:afterAutospacing="0" w:line="270" w:lineRule="atLeast"/>
              <w:outlineLvl w:val="0"/>
              <w:rPr>
                <w:b w:val="0"/>
                <w:sz w:val="20"/>
                <w:szCs w:val="20"/>
              </w:rPr>
            </w:pPr>
            <w:r w:rsidRPr="00FE447F">
              <w:rPr>
                <w:b w:val="0"/>
                <w:sz w:val="20"/>
                <w:szCs w:val="20"/>
              </w:rPr>
              <w:t>The effectiveness of massage therapy in the treatment of infantile colic symptoms: A randomized controlled trial</w:t>
            </w:r>
          </w:p>
          <w:p w:rsidR="006806D7" w:rsidRPr="00FE447F" w:rsidRDefault="006806D7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8CE" w:rsidRPr="00FE447F" w:rsidTr="007C42F8">
        <w:tc>
          <w:tcPr>
            <w:tcW w:w="401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18CE" w:rsidRPr="00FE44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5618CE" w:rsidRPr="00FE447F" w:rsidRDefault="00FE447F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Medical Doctor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INFANTS</w:t>
            </w:r>
          </w:p>
        </w:tc>
        <w:tc>
          <w:tcPr>
            <w:tcW w:w="189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HERBAL EXTRACT</w:t>
            </w:r>
          </w:p>
        </w:tc>
        <w:tc>
          <w:tcPr>
            <w:tcW w:w="2741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Matricariae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recutita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Foeniculum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vulgare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and Melissa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officinalis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brought relief to colicky infants in 1 week</w:t>
            </w:r>
          </w:p>
        </w:tc>
        <w:tc>
          <w:tcPr>
            <w:tcW w:w="769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7C42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Phytother</w:t>
            </w:r>
            <w:r w:rsidR="007C42F8">
              <w:rPr>
                <w:rFonts w:ascii="Times New Roman" w:hAnsi="Times New Roman" w:cs="Times New Roman"/>
                <w:sz w:val="20"/>
                <w:szCs w:val="20"/>
              </w:rPr>
              <w:t>apy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</w:rPr>
              <w:t xml:space="preserve"> Res</w:t>
            </w:r>
            <w:r w:rsidR="007C42F8">
              <w:rPr>
                <w:rFonts w:ascii="Times New Roman" w:hAnsi="Times New Roman" w:cs="Times New Roman"/>
                <w:sz w:val="20"/>
                <w:szCs w:val="20"/>
              </w:rPr>
              <w:t>earch</w:t>
            </w:r>
          </w:p>
        </w:tc>
        <w:tc>
          <w:tcPr>
            <w:tcW w:w="135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44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08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RCT</w:t>
            </w:r>
          </w:p>
        </w:tc>
        <w:tc>
          <w:tcPr>
            <w:tcW w:w="1639" w:type="dxa"/>
          </w:tcPr>
          <w:p w:rsidR="005618CE" w:rsidRPr="00FE447F" w:rsidRDefault="005618CE" w:rsidP="007E63E4">
            <w:pPr>
              <w:pStyle w:val="Heading1"/>
              <w:shd w:val="clear" w:color="auto" w:fill="FFFFFF"/>
              <w:spacing w:before="90" w:beforeAutospacing="0" w:after="90" w:afterAutospacing="0" w:line="270" w:lineRule="atLeast"/>
              <w:outlineLvl w:val="0"/>
              <w:rPr>
                <w:b w:val="0"/>
                <w:sz w:val="20"/>
                <w:szCs w:val="20"/>
              </w:rPr>
            </w:pPr>
            <w:proofErr w:type="gramStart"/>
            <w:r w:rsidRPr="00FE447F">
              <w:rPr>
                <w:b w:val="0"/>
                <w:sz w:val="20"/>
                <w:szCs w:val="20"/>
              </w:rPr>
              <w:t xml:space="preserve">A randomized double-blind placebo-controlled trial of a standardized </w:t>
            </w:r>
            <w:r w:rsidRPr="00FE447F">
              <w:rPr>
                <w:b w:val="0"/>
                <w:sz w:val="20"/>
                <w:szCs w:val="20"/>
              </w:rPr>
              <w:lastRenderedPageBreak/>
              <w:t xml:space="preserve">extract of 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Matricariae</w:t>
            </w:r>
            <w:proofErr w:type="spellEnd"/>
            <w:r w:rsidRPr="00FE447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recutita</w:t>
            </w:r>
            <w:proofErr w:type="spellEnd"/>
            <w:r w:rsidRPr="00FE447F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Foeniculum</w:t>
            </w:r>
            <w:proofErr w:type="spellEnd"/>
            <w:r w:rsidRPr="00FE447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vulgare</w:t>
            </w:r>
            <w:proofErr w:type="spellEnd"/>
            <w:r w:rsidRPr="00FE447F">
              <w:rPr>
                <w:b w:val="0"/>
                <w:sz w:val="20"/>
                <w:szCs w:val="20"/>
              </w:rPr>
              <w:t xml:space="preserve"> and Melissa 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officinalis</w:t>
            </w:r>
            <w:proofErr w:type="spellEnd"/>
            <w:r w:rsidRPr="00FE447F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FE447F">
              <w:rPr>
                <w:b w:val="0"/>
                <w:sz w:val="20"/>
                <w:szCs w:val="20"/>
              </w:rPr>
              <w:t>ColiMil</w:t>
            </w:r>
            <w:proofErr w:type="spellEnd"/>
            <w:r w:rsidRPr="00FE447F">
              <w:rPr>
                <w:b w:val="0"/>
                <w:sz w:val="20"/>
                <w:szCs w:val="20"/>
              </w:rPr>
              <w:t>) in the treatment of breastfed colicky infants.</w:t>
            </w:r>
            <w:proofErr w:type="gramEnd"/>
          </w:p>
          <w:p w:rsidR="005618CE" w:rsidRPr="00FE447F" w:rsidRDefault="005618CE" w:rsidP="007E63E4">
            <w:pPr>
              <w:pStyle w:val="Heading1"/>
              <w:shd w:val="clear" w:color="auto" w:fill="FFFFFF"/>
              <w:spacing w:before="90" w:beforeAutospacing="0" w:after="90" w:afterAutospacing="0" w:line="270" w:lineRule="atLeast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5618CE" w:rsidRPr="00FE447F" w:rsidTr="007C42F8">
        <w:tc>
          <w:tcPr>
            <w:tcW w:w="401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5</w:t>
            </w:r>
            <w:r w:rsidR="000F187E" w:rsidRPr="00FE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</w:tcPr>
          <w:p w:rsidR="005618CE" w:rsidRPr="00FE447F" w:rsidRDefault="00FE447F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Medical Doctor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MOTHERS</w:t>
            </w:r>
          </w:p>
        </w:tc>
        <w:tc>
          <w:tcPr>
            <w:tcW w:w="1890" w:type="dxa"/>
          </w:tcPr>
          <w:p w:rsidR="005618CE" w:rsidRPr="00FE447F" w:rsidRDefault="005618C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Most of the mothers (87.7%) do apply medications for colic which range from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paracetamol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(33.1%),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Gbomoro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(16.2%), teething powder (15.4%), salt water (13.2%), </w:t>
            </w:r>
            <w:proofErr w:type="spellStart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Buscopan</w:t>
            </w:r>
            <w:proofErr w:type="spellEnd"/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(7.7%) and gripe water (4.6%).</w:t>
            </w:r>
          </w:p>
        </w:tc>
        <w:tc>
          <w:tcPr>
            <w:tcW w:w="769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60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Nig, journal of clinical practice</w:t>
            </w:r>
          </w:p>
        </w:tc>
        <w:tc>
          <w:tcPr>
            <w:tcW w:w="1350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NIGERIA</w:t>
            </w:r>
          </w:p>
        </w:tc>
        <w:tc>
          <w:tcPr>
            <w:tcW w:w="1440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NIGERIA</w:t>
            </w:r>
          </w:p>
        </w:tc>
        <w:tc>
          <w:tcPr>
            <w:tcW w:w="1080" w:type="dxa"/>
          </w:tcPr>
          <w:p w:rsidR="005618CE" w:rsidRPr="00FE447F" w:rsidRDefault="000F187E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EXPLORATORY</w:t>
            </w:r>
          </w:p>
        </w:tc>
        <w:tc>
          <w:tcPr>
            <w:tcW w:w="1639" w:type="dxa"/>
          </w:tcPr>
          <w:p w:rsidR="005618CE" w:rsidRPr="00FE447F" w:rsidRDefault="000F187E" w:rsidP="007E63E4">
            <w:pPr>
              <w:pStyle w:val="Heading1"/>
              <w:shd w:val="clear" w:color="auto" w:fill="FFFFFF"/>
              <w:spacing w:before="90" w:beforeAutospacing="0" w:after="90" w:afterAutospacing="0" w:line="270" w:lineRule="atLeast"/>
              <w:outlineLvl w:val="0"/>
              <w:rPr>
                <w:b w:val="0"/>
                <w:sz w:val="20"/>
                <w:szCs w:val="20"/>
              </w:rPr>
            </w:pPr>
            <w:r w:rsidRPr="00FE447F">
              <w:rPr>
                <w:b w:val="0"/>
                <w:bCs w:val="0"/>
                <w:sz w:val="20"/>
                <w:szCs w:val="20"/>
                <w:shd w:val="clear" w:color="auto" w:fill="FFFFFF"/>
              </w:rPr>
              <w:t>Mothers'</w:t>
            </w:r>
            <w:r w:rsidR="007C42F8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P</w:t>
            </w:r>
            <w:r w:rsidRPr="00FE447F">
              <w:rPr>
                <w:b w:val="0"/>
                <w:bCs w:val="0"/>
                <w:sz w:val="20"/>
                <w:szCs w:val="20"/>
                <w:shd w:val="clear" w:color="auto" w:fill="FFFFFF"/>
              </w:rPr>
              <w:t>erception and management of abdominal colic in infants in Enugu, Nigeria</w:t>
            </w:r>
          </w:p>
        </w:tc>
      </w:tr>
      <w:tr w:rsidR="005618CE" w:rsidRPr="00FE447F" w:rsidTr="007C42F8">
        <w:tc>
          <w:tcPr>
            <w:tcW w:w="401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080" w:type="dxa"/>
          </w:tcPr>
          <w:p w:rsidR="005618CE" w:rsidRPr="00FE447F" w:rsidRDefault="00FE447F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Medical Doctor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Infants</w:t>
            </w:r>
          </w:p>
        </w:tc>
        <w:tc>
          <w:tcPr>
            <w:tcW w:w="1890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Acupuncture</w:t>
            </w:r>
          </w:p>
        </w:tc>
        <w:tc>
          <w:tcPr>
            <w:tcW w:w="2741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The trial of acupuncture treatment for infantile colic showed no statistically significant or clinically relevant effect.</w:t>
            </w:r>
          </w:p>
        </w:tc>
        <w:tc>
          <w:tcPr>
            <w:tcW w:w="769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60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Scand J Prim Health Care</w:t>
            </w:r>
          </w:p>
        </w:tc>
        <w:tc>
          <w:tcPr>
            <w:tcW w:w="1350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Scandinavian</w:t>
            </w:r>
          </w:p>
        </w:tc>
        <w:tc>
          <w:tcPr>
            <w:tcW w:w="1440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Scandinav</w:t>
            </w:r>
            <w:r w:rsidR="007C42F8">
              <w:rPr>
                <w:rFonts w:ascii="Times New Roman" w:hAnsi="Times New Roman" w:cs="Times New Roman"/>
                <w:sz w:val="20"/>
                <w:szCs w:val="20"/>
              </w:rPr>
              <w:t>ian</w:t>
            </w:r>
          </w:p>
        </w:tc>
        <w:tc>
          <w:tcPr>
            <w:tcW w:w="1080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RCT</w:t>
            </w:r>
          </w:p>
        </w:tc>
        <w:tc>
          <w:tcPr>
            <w:tcW w:w="1639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Acupuncture for infantile colic: A blinding-validated, randomized controlled multicentre trial in general practice.</w:t>
            </w:r>
          </w:p>
        </w:tc>
      </w:tr>
      <w:tr w:rsidR="005618CE" w:rsidRPr="00FE447F" w:rsidTr="007C42F8">
        <w:tc>
          <w:tcPr>
            <w:tcW w:w="401" w:type="dxa"/>
          </w:tcPr>
          <w:p w:rsidR="005618CE" w:rsidRPr="00FE447F" w:rsidRDefault="00D3395A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08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7F">
              <w:rPr>
                <w:rFonts w:ascii="Times New Roman" w:hAnsi="Times New Roman" w:cs="Times New Roman"/>
                <w:sz w:val="20"/>
                <w:szCs w:val="20"/>
              </w:rPr>
              <w:t>Medical Doctor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infants</w:t>
            </w:r>
          </w:p>
        </w:tc>
        <w:tc>
          <w:tcPr>
            <w:tcW w:w="189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Acupuncture and massage with herbal extracts</w:t>
            </w:r>
          </w:p>
        </w:tc>
        <w:tc>
          <w:tcPr>
            <w:tcW w:w="2741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2C">
              <w:rPr>
                <w:rFonts w:ascii="Times New Roman" w:hAnsi="Times New Roman" w:cs="Times New Roman"/>
                <w:sz w:val="20"/>
                <w:szCs w:val="20"/>
              </w:rPr>
              <w:t>There are several treatment methods for infantile colic in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raditional </w:t>
            </w:r>
            <w:r w:rsidRPr="00EA3A2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ranian </w:t>
            </w:r>
            <w:r w:rsidRPr="00EA3A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edicine</w:t>
            </w:r>
            <w:r w:rsidRPr="00EA3A2C">
              <w:rPr>
                <w:rFonts w:ascii="Times New Roman" w:hAnsi="Times New Roman" w:cs="Times New Roman"/>
                <w:sz w:val="20"/>
                <w:szCs w:val="20"/>
              </w:rPr>
              <w:t xml:space="preserve">, in some of which herbal extracts and oils are used for infant abdomen massage. As these herbal extracts and oils do not bring about any serious </w:t>
            </w:r>
            <w:r w:rsidRPr="00EA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side-effects, they can be used easily in practice. There is some scientific evidence proving the effectiveness of massage for some of the children’s problems</w:t>
            </w:r>
          </w:p>
        </w:tc>
        <w:tc>
          <w:tcPr>
            <w:tcW w:w="769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26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Paedatrics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144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1080" w:type="dxa"/>
          </w:tcPr>
          <w:p w:rsidR="005618CE" w:rsidRPr="00FE447F" w:rsidRDefault="00EA3A2C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Systematic review</w:t>
            </w:r>
          </w:p>
        </w:tc>
        <w:tc>
          <w:tcPr>
            <w:tcW w:w="1639" w:type="dxa"/>
          </w:tcPr>
          <w:p w:rsidR="005618CE" w:rsidRPr="00FE447F" w:rsidRDefault="00E173A9" w:rsidP="007E6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Mother’s diet modification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inaffnt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abdominal massage is helpful in relieving colic infants</w:t>
            </w:r>
          </w:p>
        </w:tc>
      </w:tr>
    </w:tbl>
    <w:p w:rsidR="00CA5FCD" w:rsidRPr="00FE447F" w:rsidRDefault="00CA5FCD">
      <w:pPr>
        <w:rPr>
          <w:rFonts w:ascii="Times New Roman" w:hAnsi="Times New Roman" w:cs="Times New Roman"/>
          <w:sz w:val="20"/>
          <w:szCs w:val="20"/>
        </w:rPr>
      </w:pPr>
    </w:p>
    <w:sectPr w:rsidR="00CA5FCD" w:rsidRPr="00FE447F" w:rsidSect="007E63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6D7"/>
    <w:rsid w:val="000A5861"/>
    <w:rsid w:val="000F187E"/>
    <w:rsid w:val="004662F7"/>
    <w:rsid w:val="005618CE"/>
    <w:rsid w:val="006806D7"/>
    <w:rsid w:val="007C42F8"/>
    <w:rsid w:val="007E63E4"/>
    <w:rsid w:val="00A27093"/>
    <w:rsid w:val="00AE5930"/>
    <w:rsid w:val="00BB2A2E"/>
    <w:rsid w:val="00C811B9"/>
    <w:rsid w:val="00CA5FCD"/>
    <w:rsid w:val="00CE3C91"/>
    <w:rsid w:val="00D3395A"/>
    <w:rsid w:val="00DB2361"/>
    <w:rsid w:val="00E173A9"/>
    <w:rsid w:val="00E5698F"/>
    <w:rsid w:val="00EA3A2C"/>
    <w:rsid w:val="00FE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D7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80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806D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6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A5861"/>
    <w:rPr>
      <w:color w:val="0000FF"/>
      <w:u w:val="single"/>
    </w:rPr>
  </w:style>
  <w:style w:type="character" w:customStyle="1" w:styleId="highlight">
    <w:name w:val="highlight"/>
    <w:basedOn w:val="DefaultParagraphFont"/>
    <w:rsid w:val="00561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Abiona</dc:creator>
  <cp:lastModifiedBy>ODETOLA</cp:lastModifiedBy>
  <cp:revision>2</cp:revision>
  <dcterms:created xsi:type="dcterms:W3CDTF">2017-02-14T21:57:00Z</dcterms:created>
  <dcterms:modified xsi:type="dcterms:W3CDTF">2017-02-14T21:57:00Z</dcterms:modified>
</cp:coreProperties>
</file>