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28F" w14:textId="60F1F4A4" w:rsidR="00537326" w:rsidRDefault="00537326" w:rsidP="00537326">
      <w:pPr>
        <w:pStyle w:val="Heading1"/>
      </w:pPr>
      <w:r w:rsidRPr="0005669D">
        <w:t>Constitutional Rights of Women in Ghana: An</w:t>
      </w:r>
      <w:r w:rsidR="005075AA">
        <w:t> </w:t>
      </w:r>
      <w:r w:rsidRPr="0005669D">
        <w:t>Expansion of the Legal Framework</w:t>
      </w:r>
    </w:p>
    <w:p w14:paraId="481D3291" w14:textId="77777777" w:rsidR="00537326" w:rsidRPr="00AA11C5" w:rsidRDefault="00537326" w:rsidP="00537326">
      <w:pPr>
        <w:pStyle w:val="Authordetails"/>
        <w:rPr>
          <w:b/>
          <w:bCs/>
        </w:rPr>
      </w:pPr>
      <w:r w:rsidRPr="00AA11C5">
        <w:rPr>
          <w:b/>
          <w:bCs/>
        </w:rPr>
        <w:t xml:space="preserve">Ethel </w:t>
      </w:r>
      <w:bookmarkStart w:id="0" w:name="_Hlk173932947"/>
      <w:r w:rsidRPr="00AA11C5">
        <w:rPr>
          <w:b/>
          <w:bCs/>
        </w:rPr>
        <w:t>Fiattor</w:t>
      </w:r>
      <w:bookmarkEnd w:id="0"/>
    </w:p>
    <w:p w14:paraId="2329C004" w14:textId="77777777" w:rsidR="00537326" w:rsidRPr="00AA11C5" w:rsidRDefault="00537326" w:rsidP="00537326">
      <w:pPr>
        <w:pStyle w:val="Authordetails"/>
      </w:pPr>
      <w:hyperlink r:id="rId8" w:history="1">
        <w:r w:rsidRPr="00B242C1">
          <w:rPr>
            <w:rStyle w:val="Hyperlink"/>
          </w:rPr>
          <w:t>https://orcid.org/0000-0001-5029-0286</w:t>
        </w:r>
      </w:hyperlink>
    </w:p>
    <w:p w14:paraId="13B81D0B" w14:textId="77777777" w:rsidR="00537326" w:rsidRDefault="00537326" w:rsidP="00537326">
      <w:pPr>
        <w:pStyle w:val="Authordetails"/>
      </w:pPr>
      <w:r w:rsidRPr="00AA11C5">
        <w:t>University of Pretoria</w:t>
      </w:r>
    </w:p>
    <w:p w14:paraId="193EDC55" w14:textId="77777777" w:rsidR="00537326" w:rsidRPr="00AA11C5" w:rsidRDefault="00537326" w:rsidP="00537326">
      <w:pPr>
        <w:pStyle w:val="Authordetails"/>
      </w:pPr>
      <w:r w:rsidRPr="00AA11C5">
        <w:t>chabbyethel@gmail.com</w:t>
      </w:r>
    </w:p>
    <w:p w14:paraId="1B97583C" w14:textId="77777777" w:rsidR="00537326" w:rsidRPr="0005669D" w:rsidRDefault="00537326" w:rsidP="00537326">
      <w:pPr>
        <w:pStyle w:val="Heading2"/>
      </w:pPr>
      <w:r w:rsidRPr="0005669D">
        <w:t>Abstract</w:t>
      </w:r>
    </w:p>
    <w:p w14:paraId="1820C7D9" w14:textId="77777777" w:rsidR="00537326" w:rsidRDefault="00537326" w:rsidP="00537326">
      <w:pPr>
        <w:pStyle w:val="Abstract"/>
      </w:pPr>
      <w:bookmarkStart w:id="1" w:name="_heading=h.gjdgxs" w:colFirst="0" w:colLast="0"/>
      <w:bookmarkEnd w:id="1"/>
      <w:r w:rsidRPr="0005669D">
        <w:t>The research paper elucidates the expansion of the legal framework of women’s rights in Ghana to address all forms of discrimination against</w:t>
      </w:r>
      <w:r>
        <w:t xml:space="preserve"> them. The article </w:t>
      </w:r>
      <w:r w:rsidRPr="0005669D">
        <w:t>consider</w:t>
      </w:r>
      <w:r>
        <w:t>s</w:t>
      </w:r>
      <w:r w:rsidRPr="0005669D">
        <w:t xml:space="preserve"> a three-fold reform process</w:t>
      </w:r>
      <w:r>
        <w:t>,</w:t>
      </w:r>
      <w:r w:rsidRPr="0005669D">
        <w:t xml:space="preserve"> </w:t>
      </w:r>
      <w:r>
        <w:t xml:space="preserve">including </w:t>
      </w:r>
      <w:r w:rsidRPr="00A345A2">
        <w:t xml:space="preserve">a constitutional reform to influence the </w:t>
      </w:r>
      <w:r>
        <w:t xml:space="preserve">enactment </w:t>
      </w:r>
      <w:r w:rsidRPr="00A345A2">
        <w:t>of a</w:t>
      </w:r>
      <w:r>
        <w:t>n extensive p</w:t>
      </w:r>
      <w:r w:rsidRPr="00A345A2">
        <w:t>arliamentary Act</w:t>
      </w:r>
      <w:r>
        <w:t xml:space="preserve"> either domesticating the Maputo Protocol or incorporating its principles. The article acknowledges the existence of some legislation on specific forms of discrimination against women and advocates that these may support the proposed comprehensive Parliamentary Act. The third reform process considers</w:t>
      </w:r>
      <w:r w:rsidRPr="00A345A2">
        <w:t xml:space="preserve"> strategic litigation as a means of implementation</w:t>
      </w:r>
      <w:r>
        <w:t xml:space="preserve"> </w:t>
      </w:r>
      <w:r w:rsidRPr="00A345A2">
        <w:t>and compliance.</w:t>
      </w:r>
      <w:r>
        <w:t xml:space="preserve"> </w:t>
      </w:r>
    </w:p>
    <w:p w14:paraId="3C9F7F56" w14:textId="77777777" w:rsidR="00537326" w:rsidRDefault="00537326" w:rsidP="00537326">
      <w:pPr>
        <w:pStyle w:val="Keywords"/>
      </w:pPr>
      <w:r w:rsidRPr="0005669D">
        <w:rPr>
          <w:b/>
        </w:rPr>
        <w:t>Keywords:</w:t>
      </w:r>
      <w:r w:rsidRPr="0005669D">
        <w:t xml:space="preserve"> Discrimination; </w:t>
      </w:r>
      <w:r>
        <w:t>strategic litigation</w:t>
      </w:r>
      <w:r w:rsidRPr="0005669D">
        <w:t xml:space="preserve">; legal framework; women’s rights; politics and governance; </w:t>
      </w:r>
      <w:r>
        <w:t>parliamentary Act</w:t>
      </w:r>
      <w:r w:rsidRPr="0005669D">
        <w:t xml:space="preserve">; </w:t>
      </w:r>
      <w:r>
        <w:t>constitutional reform</w:t>
      </w:r>
      <w:r w:rsidRPr="0005669D">
        <w:t xml:space="preserve">; affirmative action </w:t>
      </w:r>
    </w:p>
    <w:p w14:paraId="4DE4E63A" w14:textId="77777777" w:rsidR="00537326" w:rsidRDefault="00537326" w:rsidP="00537326">
      <w:pPr>
        <w:spacing w:after="0" w:line="240" w:lineRule="auto"/>
        <w:rPr>
          <w:bCs/>
          <w:sz w:val="26"/>
        </w:rPr>
      </w:pPr>
      <w:r>
        <w:br w:type="page"/>
      </w:r>
    </w:p>
    <w:p w14:paraId="61610CB2" w14:textId="77777777" w:rsidR="00537326" w:rsidRPr="008522FC" w:rsidRDefault="00537326" w:rsidP="00537326">
      <w:pPr>
        <w:pStyle w:val="Heading2"/>
      </w:pPr>
      <w:r w:rsidRPr="008522FC">
        <w:lastRenderedPageBreak/>
        <w:t>Introduction</w:t>
      </w:r>
    </w:p>
    <w:p w14:paraId="6330E965" w14:textId="77777777" w:rsidR="00537326" w:rsidRPr="00CA5845" w:rsidRDefault="00537326" w:rsidP="00537326">
      <w:pPr>
        <w:pStyle w:val="BodyText"/>
        <w:rPr>
          <w:rFonts w:asciiTheme="majorBidi" w:hAnsiTheme="majorBidi" w:cstheme="majorBidi"/>
          <w:szCs w:val="22"/>
        </w:rPr>
      </w:pPr>
      <w:r w:rsidRPr="0005669D">
        <w:t xml:space="preserve">Ghana is not immune to </w:t>
      </w:r>
      <w:r w:rsidRPr="00CA5845">
        <w:rPr>
          <w:rFonts w:asciiTheme="majorBidi" w:hAnsiTheme="majorBidi" w:cstheme="majorBidi"/>
          <w:szCs w:val="22"/>
        </w:rPr>
        <w:t>women’s rights violations.</w:t>
      </w:r>
      <w:r w:rsidRPr="00CA5845">
        <w:rPr>
          <w:rStyle w:val="FootnoteReference"/>
          <w:rFonts w:asciiTheme="majorBidi" w:hAnsiTheme="majorBidi" w:cstheme="majorBidi"/>
          <w:szCs w:val="22"/>
        </w:rPr>
        <w:footnoteReference w:id="1"/>
      </w:r>
      <w:r w:rsidRPr="00CA5845">
        <w:rPr>
          <w:rFonts w:asciiTheme="majorBidi" w:hAnsiTheme="majorBidi" w:cstheme="majorBidi"/>
          <w:szCs w:val="22"/>
        </w:rPr>
        <w:t xml:space="preserve"> Despite the Constitution’s commitment to safeguard fundamental human rights locally,</w:t>
      </w:r>
      <w:r w:rsidRPr="00CA5845">
        <w:rPr>
          <w:rFonts w:asciiTheme="majorBidi" w:hAnsiTheme="majorBidi" w:cstheme="majorBidi"/>
          <w:szCs w:val="22"/>
          <w:vertAlign w:val="superscript"/>
        </w:rPr>
        <w:footnoteReference w:id="2"/>
      </w:r>
      <w:r w:rsidRPr="00CA5845">
        <w:rPr>
          <w:rFonts w:asciiTheme="majorBidi" w:hAnsiTheme="majorBidi" w:cstheme="majorBidi"/>
          <w:szCs w:val="22"/>
        </w:rPr>
        <w:t xml:space="preserve"> reforming the legal framework on gender-based violence to expand its scope is long overdue. An attempt to salvage the situation is represented in some legislations addressing specific forms of discrimination against women.</w:t>
      </w:r>
      <w:r w:rsidRPr="00CA5845">
        <w:rPr>
          <w:rFonts w:asciiTheme="majorBidi" w:hAnsiTheme="majorBidi" w:cstheme="majorBidi"/>
          <w:szCs w:val="22"/>
          <w:vertAlign w:val="superscript"/>
        </w:rPr>
        <w:footnoteReference w:id="3"/>
      </w:r>
      <w:r w:rsidRPr="00CA5845">
        <w:rPr>
          <w:rFonts w:asciiTheme="majorBidi" w:hAnsiTheme="majorBidi" w:cstheme="majorBidi"/>
          <w:szCs w:val="22"/>
        </w:rPr>
        <w:t xml:space="preserve"> The</w:t>
      </w:r>
      <w:r>
        <w:rPr>
          <w:rFonts w:asciiTheme="majorBidi" w:hAnsiTheme="majorBidi" w:cstheme="majorBidi"/>
          <w:szCs w:val="22"/>
        </w:rPr>
        <w:t>re</w:t>
      </w:r>
      <w:r w:rsidRPr="00CA5845">
        <w:rPr>
          <w:rFonts w:asciiTheme="majorBidi" w:hAnsiTheme="majorBidi" w:cstheme="majorBidi"/>
          <w:szCs w:val="22"/>
        </w:rPr>
        <w:t xml:space="preserve"> </w:t>
      </w:r>
      <w:r>
        <w:rPr>
          <w:rFonts w:asciiTheme="majorBidi" w:hAnsiTheme="majorBidi" w:cstheme="majorBidi"/>
          <w:szCs w:val="22"/>
        </w:rPr>
        <w:t xml:space="preserve">is a </w:t>
      </w:r>
      <w:r w:rsidRPr="00CA5845">
        <w:rPr>
          <w:rFonts w:asciiTheme="majorBidi" w:hAnsiTheme="majorBidi" w:cstheme="majorBidi"/>
          <w:szCs w:val="22"/>
        </w:rPr>
        <w:t>need to re-examine the legal regime to accommodate a wide range of gender-responsive policies</w:t>
      </w:r>
      <w:r>
        <w:rPr>
          <w:rFonts w:asciiTheme="majorBidi" w:hAnsiTheme="majorBidi" w:cstheme="majorBidi"/>
          <w:szCs w:val="22"/>
        </w:rPr>
        <w:t>.</w:t>
      </w:r>
      <w:r w:rsidRPr="00CA5845">
        <w:rPr>
          <w:rFonts w:asciiTheme="majorBidi" w:hAnsiTheme="majorBidi" w:cstheme="majorBidi"/>
          <w:szCs w:val="22"/>
        </w:rPr>
        <w:t xml:space="preserve"> </w:t>
      </w:r>
      <w:r>
        <w:rPr>
          <w:rFonts w:asciiTheme="majorBidi" w:hAnsiTheme="majorBidi" w:cstheme="majorBidi"/>
          <w:szCs w:val="22"/>
        </w:rPr>
        <w:t>In relation to property rights and economic rights of women, t</w:t>
      </w:r>
      <w:r w:rsidRPr="00CA5845">
        <w:rPr>
          <w:rFonts w:asciiTheme="majorBidi" w:hAnsiTheme="majorBidi" w:cstheme="majorBidi"/>
          <w:szCs w:val="22"/>
        </w:rPr>
        <w:t>he Constitution of Ghana merits an expansion to accommodate modern gender proactive measures and influence the enactment of an all-inclusive Act. In the 1960s, Ghana established the National Council of Women to recognise and promote women’s contributions by appreciating their involvement in the struggle for independence and vocationally empowering them.</w:t>
      </w:r>
      <w:r w:rsidRPr="00CA5845">
        <w:rPr>
          <w:rFonts w:asciiTheme="majorBidi" w:hAnsiTheme="majorBidi" w:cstheme="majorBidi"/>
          <w:szCs w:val="22"/>
          <w:vertAlign w:val="superscript"/>
        </w:rPr>
        <w:footnoteReference w:id="4"/>
      </w:r>
      <w:r w:rsidRPr="00CA5845">
        <w:rPr>
          <w:rFonts w:asciiTheme="majorBidi" w:hAnsiTheme="majorBidi" w:cstheme="majorBidi"/>
          <w:szCs w:val="22"/>
        </w:rPr>
        <w:t xml:space="preserve"> The government implemented an affirmative action policy to increase female political participation, aiming for forty per cent representation in state councils and committees.</w:t>
      </w:r>
      <w:r w:rsidRPr="00CA5845">
        <w:rPr>
          <w:rFonts w:asciiTheme="majorBidi" w:hAnsiTheme="majorBidi" w:cstheme="majorBidi"/>
          <w:szCs w:val="22"/>
          <w:vertAlign w:val="superscript"/>
        </w:rPr>
        <w:footnoteReference w:id="5"/>
      </w:r>
      <w:r w:rsidRPr="00CA5845">
        <w:rPr>
          <w:rFonts w:asciiTheme="majorBidi" w:hAnsiTheme="majorBidi" w:cstheme="majorBidi"/>
          <w:szCs w:val="22"/>
        </w:rPr>
        <w:t xml:space="preserve"> The policy is before parliament, with minimal progress on its promulgation.</w:t>
      </w:r>
      <w:r w:rsidRPr="00CA5845">
        <w:rPr>
          <w:rFonts w:asciiTheme="majorBidi" w:hAnsiTheme="majorBidi" w:cstheme="majorBidi"/>
          <w:szCs w:val="22"/>
          <w:vertAlign w:val="superscript"/>
        </w:rPr>
        <w:footnoteReference w:id="6"/>
      </w:r>
      <w:r w:rsidRPr="00CA5845">
        <w:rPr>
          <w:rFonts w:asciiTheme="majorBidi" w:hAnsiTheme="majorBidi" w:cstheme="majorBidi"/>
          <w:szCs w:val="22"/>
        </w:rPr>
        <w:t xml:space="preserve"> </w:t>
      </w:r>
    </w:p>
    <w:p w14:paraId="6676B4A3" w14:textId="0ACC7C00" w:rsidR="00537326" w:rsidRPr="00CA5845" w:rsidRDefault="00537326" w:rsidP="00537326">
      <w:pPr>
        <w:pStyle w:val="BodyText"/>
        <w:rPr>
          <w:szCs w:val="22"/>
        </w:rPr>
      </w:pPr>
      <w:r w:rsidRPr="00CA5845">
        <w:rPr>
          <w:rFonts w:asciiTheme="majorBidi" w:hAnsiTheme="majorBidi" w:cstheme="majorBidi"/>
          <w:szCs w:val="22"/>
        </w:rPr>
        <w:t xml:space="preserve">Suffice </w:t>
      </w:r>
      <w:r>
        <w:rPr>
          <w:rFonts w:asciiTheme="majorBidi" w:hAnsiTheme="majorBidi" w:cstheme="majorBidi"/>
          <w:szCs w:val="22"/>
        </w:rPr>
        <w:t xml:space="preserve">it </w:t>
      </w:r>
      <w:r w:rsidRPr="00CA5845">
        <w:rPr>
          <w:rFonts w:asciiTheme="majorBidi" w:hAnsiTheme="majorBidi" w:cstheme="majorBidi"/>
          <w:szCs w:val="22"/>
        </w:rPr>
        <w:t xml:space="preserve">to </w:t>
      </w:r>
      <w:r>
        <w:rPr>
          <w:rFonts w:asciiTheme="majorBidi" w:hAnsiTheme="majorBidi" w:cstheme="majorBidi"/>
          <w:szCs w:val="22"/>
        </w:rPr>
        <w:t>say</w:t>
      </w:r>
      <w:r w:rsidRPr="00CA5845">
        <w:rPr>
          <w:rFonts w:asciiTheme="majorBidi" w:hAnsiTheme="majorBidi" w:cstheme="majorBidi"/>
          <w:szCs w:val="22"/>
        </w:rPr>
        <w:t xml:space="preserve"> that the country has made significant attempts to advance women’s rights in employment and spousal acquisition. Special care for nurturing mothers and paid leave to support traditionally classified caregivers for developing maximum potential in the socio-economic spheres are classical examples. The significa</w:t>
      </w:r>
      <w:r w:rsidRPr="0005669D">
        <w:t xml:space="preserve">nt gap in </w:t>
      </w:r>
      <w:r w:rsidRPr="0005669D">
        <w:lastRenderedPageBreak/>
        <w:t>other areas</w:t>
      </w:r>
      <w:r>
        <w:t>,</w:t>
      </w:r>
      <w:r w:rsidRPr="0005669D">
        <w:t xml:space="preserve"> </w:t>
      </w:r>
      <w:r>
        <w:t xml:space="preserve">including </w:t>
      </w:r>
      <w:r w:rsidRPr="0005669D">
        <w:t>edu</w:t>
      </w:r>
      <w:r w:rsidRPr="00CA5845">
        <w:rPr>
          <w:szCs w:val="22"/>
        </w:rPr>
        <w:t>cation,</w:t>
      </w:r>
      <w:r w:rsidRPr="00CA5845">
        <w:rPr>
          <w:szCs w:val="22"/>
          <w:vertAlign w:val="superscript"/>
        </w:rPr>
        <w:footnoteReference w:id="7"/>
      </w:r>
      <w:r w:rsidRPr="00CA5845">
        <w:rPr>
          <w:szCs w:val="22"/>
        </w:rPr>
        <w:t xml:space="preserve"> maternal and fertility healthcare,</w:t>
      </w:r>
      <w:r w:rsidRPr="00CA5845">
        <w:rPr>
          <w:szCs w:val="22"/>
          <w:vertAlign w:val="superscript"/>
        </w:rPr>
        <w:footnoteReference w:id="8"/>
      </w:r>
      <w:r w:rsidRPr="00CA5845">
        <w:rPr>
          <w:szCs w:val="22"/>
        </w:rPr>
        <w:t xml:space="preserve"> climate change</w:t>
      </w:r>
      <w:r w:rsidRPr="00CA5845">
        <w:rPr>
          <w:szCs w:val="22"/>
          <w:vertAlign w:val="superscript"/>
        </w:rPr>
        <w:footnoteReference w:id="9"/>
      </w:r>
      <w:r w:rsidRPr="00CA5845">
        <w:rPr>
          <w:szCs w:val="22"/>
        </w:rPr>
        <w:t>, information technology</w:t>
      </w:r>
      <w:r w:rsidRPr="00CA5845">
        <w:rPr>
          <w:szCs w:val="22"/>
          <w:vertAlign w:val="superscript"/>
        </w:rPr>
        <w:footnoteReference w:id="10"/>
      </w:r>
      <w:r w:rsidRPr="00CA5845">
        <w:rPr>
          <w:szCs w:val="22"/>
        </w:rPr>
        <w:t xml:space="preserve"> and economics</w:t>
      </w:r>
      <w:r w:rsidRPr="00CA5845">
        <w:rPr>
          <w:szCs w:val="22"/>
          <w:vertAlign w:val="superscript"/>
        </w:rPr>
        <w:footnoteReference w:id="11"/>
      </w:r>
      <w:r w:rsidRPr="00CA5845">
        <w:rPr>
          <w:szCs w:val="22"/>
        </w:rPr>
        <w:t xml:space="preserve"> amongst others, are defining. The Constitution guarantees women equal rights to training and promotion without any obstacles with the understanding that the similitude of equal opportunities to both genders </w:t>
      </w:r>
      <w:r>
        <w:rPr>
          <w:szCs w:val="22"/>
        </w:rPr>
        <w:t>provides</w:t>
      </w:r>
      <w:r w:rsidRPr="00CA5845">
        <w:rPr>
          <w:szCs w:val="22"/>
        </w:rPr>
        <w:t xml:space="preserve"> the foundation to afford economic leverage for women</w:t>
      </w:r>
      <w:r w:rsidRPr="00CA5845">
        <w:rPr>
          <w:szCs w:val="22"/>
          <w:vertAlign w:val="superscript"/>
        </w:rPr>
        <w:footnoteReference w:id="12"/>
      </w:r>
      <w:r w:rsidRPr="00CA5845">
        <w:rPr>
          <w:szCs w:val="22"/>
        </w:rPr>
        <w:t xml:space="preserve"> and these are replicated under section 57 of the Labour Act.</w:t>
      </w:r>
      <w:r w:rsidRPr="00CA5845">
        <w:rPr>
          <w:szCs w:val="22"/>
          <w:vertAlign w:val="superscript"/>
        </w:rPr>
        <w:footnoteReference w:id="13"/>
      </w:r>
      <w:r w:rsidRPr="00CA5845">
        <w:rPr>
          <w:szCs w:val="22"/>
        </w:rPr>
        <w:t xml:space="preserve"> </w:t>
      </w:r>
    </w:p>
    <w:p w14:paraId="72FCAF19" w14:textId="77777777" w:rsidR="00537326" w:rsidRPr="00CA5845" w:rsidRDefault="00537326" w:rsidP="00537326">
      <w:pPr>
        <w:pStyle w:val="BodyText"/>
        <w:rPr>
          <w:szCs w:val="22"/>
          <w:lang w:val="en-US"/>
        </w:rPr>
      </w:pPr>
      <w:r w:rsidRPr="00CA5845">
        <w:rPr>
          <w:szCs w:val="22"/>
          <w:lang w:val="en-US"/>
        </w:rPr>
        <w:t xml:space="preserve">The Constitution mandates the establishment of legislation regulating property rights, ensuring equal access to jointly acquired property and equitable distribution upon dissolution. It further maintains that the </w:t>
      </w:r>
      <w:r w:rsidRPr="00CA5845">
        <w:rPr>
          <w:szCs w:val="22"/>
        </w:rPr>
        <w:t xml:space="preserve">presence or otherwise of a will is no grounds for women to </w:t>
      </w:r>
      <w:r w:rsidRPr="00CA5845">
        <w:rPr>
          <w:szCs w:val="22"/>
          <w:lang w:val="en-US"/>
        </w:rPr>
        <w:t>be denied reasonable provisions from the deceased estate of a spouse.</w:t>
      </w:r>
      <w:r w:rsidRPr="00CA5845">
        <w:rPr>
          <w:szCs w:val="22"/>
          <w:vertAlign w:val="superscript"/>
          <w:lang w:val="en-US"/>
        </w:rPr>
        <w:footnoteReference w:id="14"/>
      </w:r>
      <w:r w:rsidRPr="00CA5845">
        <w:rPr>
          <w:szCs w:val="22"/>
          <w:lang w:val="en-US"/>
        </w:rPr>
        <w:t xml:space="preserve"> While addressing property rights and </w:t>
      </w:r>
      <w:proofErr w:type="spellStart"/>
      <w:r w:rsidRPr="00CA5845">
        <w:rPr>
          <w:szCs w:val="22"/>
          <w:lang w:val="en-US"/>
        </w:rPr>
        <w:t>labour</w:t>
      </w:r>
      <w:proofErr w:type="spellEnd"/>
      <w:r w:rsidRPr="00CA5845">
        <w:rPr>
          <w:szCs w:val="22"/>
          <w:lang w:val="en-US"/>
        </w:rPr>
        <w:t xml:space="preserve"> rights</w:t>
      </w:r>
      <w:r>
        <w:rPr>
          <w:szCs w:val="22"/>
          <w:lang w:val="en-US"/>
        </w:rPr>
        <w:t xml:space="preserve"> is</w:t>
      </w:r>
      <w:r w:rsidRPr="00CA5845">
        <w:rPr>
          <w:szCs w:val="22"/>
          <w:lang w:val="en-US"/>
        </w:rPr>
        <w:t xml:space="preserve"> essential, gender-based discrimination is widespread. Addressing gender-inclusive issues like climate change and information technology can reduce poverty among women and girls, improve agricultural production and </w:t>
      </w:r>
      <w:proofErr w:type="spellStart"/>
      <w:r w:rsidRPr="00CA5845">
        <w:rPr>
          <w:szCs w:val="22"/>
          <w:lang w:val="en-US"/>
        </w:rPr>
        <w:t>minimise</w:t>
      </w:r>
      <w:proofErr w:type="spellEnd"/>
      <w:r w:rsidRPr="00CA5845">
        <w:rPr>
          <w:szCs w:val="22"/>
          <w:lang w:val="en-US"/>
        </w:rPr>
        <w:t xml:space="preserve"> poverty in Ghana.</w:t>
      </w:r>
      <w:r w:rsidRPr="00CA5845">
        <w:rPr>
          <w:rStyle w:val="FootnoteReference"/>
          <w:szCs w:val="22"/>
          <w:lang w:val="en-US"/>
        </w:rPr>
        <w:footnoteReference w:id="15"/>
      </w:r>
      <w:r w:rsidRPr="00CA5845">
        <w:rPr>
          <w:szCs w:val="22"/>
          <w:lang w:val="en-US"/>
        </w:rPr>
        <w:t xml:space="preserve"> Implementing women’s rights initiatives in a digital socio-economic setting guarantees empowerment through information on </w:t>
      </w:r>
      <w:proofErr w:type="spellStart"/>
      <w:r w:rsidRPr="00CA5845">
        <w:rPr>
          <w:szCs w:val="22"/>
          <w:lang w:val="en-US"/>
        </w:rPr>
        <w:t>modernised</w:t>
      </w:r>
      <w:proofErr w:type="spellEnd"/>
      <w:r w:rsidRPr="00CA5845">
        <w:rPr>
          <w:szCs w:val="22"/>
          <w:lang w:val="en-US"/>
        </w:rPr>
        <w:t xml:space="preserve"> healthcare, education, social interaction and communication.</w:t>
      </w:r>
      <w:r w:rsidRPr="00CA5845">
        <w:rPr>
          <w:rStyle w:val="FootnoteReference"/>
          <w:szCs w:val="22"/>
          <w:lang w:val="en-US"/>
        </w:rPr>
        <w:footnoteReference w:id="16"/>
      </w:r>
    </w:p>
    <w:p w14:paraId="62D642C6" w14:textId="77777777" w:rsidR="00537326" w:rsidRDefault="00537326" w:rsidP="00537326">
      <w:pPr>
        <w:pStyle w:val="BodyText"/>
        <w:rPr>
          <w:lang w:val="en-US"/>
        </w:rPr>
      </w:pPr>
      <w:r w:rsidRPr="0005669D">
        <w:lastRenderedPageBreak/>
        <w:t xml:space="preserve">The article </w:t>
      </w:r>
      <w:r>
        <w:t xml:space="preserve">advocates </w:t>
      </w:r>
      <w:r w:rsidRPr="0005669D">
        <w:t xml:space="preserve">that discrimination against women in the political and socio-economic settings calls for </w:t>
      </w:r>
      <w:r>
        <w:t xml:space="preserve">an extensive proactive </w:t>
      </w:r>
      <w:r w:rsidRPr="0005669D">
        <w:t xml:space="preserve">legal framework </w:t>
      </w:r>
      <w:r>
        <w:t xml:space="preserve">by a constitutional amendment to inspire </w:t>
      </w:r>
      <w:r w:rsidRPr="0005669D">
        <w:t>domesticating the Maputo Protocol in accordance with the dualist implementation of treaties.</w:t>
      </w:r>
      <w:r w:rsidRPr="00171569">
        <w:rPr>
          <w:rStyle w:val="FootnoteReference"/>
          <w:szCs w:val="22"/>
        </w:rPr>
        <w:footnoteReference w:id="17"/>
      </w:r>
      <w:r w:rsidRPr="0005669D">
        <w:t xml:space="preserve"> </w:t>
      </w:r>
      <w:r>
        <w:rPr>
          <w:lang w:val="en-US"/>
        </w:rPr>
        <w:t>D</w:t>
      </w:r>
      <w:r w:rsidRPr="0005669D">
        <w:rPr>
          <w:lang w:val="en-US"/>
        </w:rPr>
        <w:t>omesticating the Maputo Protocol</w:t>
      </w:r>
      <w:r>
        <w:rPr>
          <w:lang w:val="en-US"/>
        </w:rPr>
        <w:t xml:space="preserve">, either by </w:t>
      </w:r>
      <w:r w:rsidRPr="00E905F6">
        <w:rPr>
          <w:lang w:val="en-US"/>
        </w:rPr>
        <w:t xml:space="preserve">legislating the </w:t>
      </w:r>
      <w:r>
        <w:rPr>
          <w:lang w:val="en-US"/>
        </w:rPr>
        <w:t>T</w:t>
      </w:r>
      <w:r w:rsidRPr="00E905F6">
        <w:rPr>
          <w:lang w:val="en-US"/>
        </w:rPr>
        <w:t>reaty provisions verbatim as</w:t>
      </w:r>
      <w:r w:rsidRPr="00F46D88">
        <w:t xml:space="preserve"> </w:t>
      </w:r>
      <w:r w:rsidRPr="00F46D88">
        <w:rPr>
          <w:lang w:val="en-US"/>
        </w:rPr>
        <w:t>domestic law</w:t>
      </w:r>
      <w:r>
        <w:rPr>
          <w:lang w:val="en-US"/>
        </w:rPr>
        <w:t xml:space="preserve"> or by establishing a comprehensive Act on all forms of discrimination against women with the principles of the Protocol incorporated therein, provides an extensive legal framework for women’s rights issues</w:t>
      </w:r>
      <w:r w:rsidRPr="0005669D">
        <w:rPr>
          <w:lang w:val="en-US"/>
        </w:rPr>
        <w:t>.</w:t>
      </w:r>
      <w:r w:rsidRPr="00C630F3">
        <w:rPr>
          <w:rStyle w:val="FootnoteReference"/>
          <w:szCs w:val="22"/>
          <w:lang w:val="en-US"/>
        </w:rPr>
        <w:footnoteReference w:id="18"/>
      </w:r>
      <w:r>
        <w:rPr>
          <w:lang w:val="en-US"/>
        </w:rPr>
        <w:t xml:space="preserve"> </w:t>
      </w:r>
      <w:r w:rsidRPr="00F27BA0">
        <w:rPr>
          <w:lang w:val="en-US"/>
        </w:rPr>
        <w:t xml:space="preserve">A comprehensive Act incorporating internationally </w:t>
      </w:r>
      <w:proofErr w:type="spellStart"/>
      <w:r w:rsidRPr="00F27BA0">
        <w:rPr>
          <w:lang w:val="en-US"/>
        </w:rPr>
        <w:t>recogni</w:t>
      </w:r>
      <w:r>
        <w:rPr>
          <w:lang w:val="en-US"/>
        </w:rPr>
        <w:t>s</w:t>
      </w:r>
      <w:r w:rsidRPr="00F27BA0">
        <w:rPr>
          <w:lang w:val="en-US"/>
        </w:rPr>
        <w:t>ed</w:t>
      </w:r>
      <w:proofErr w:type="spellEnd"/>
      <w:r w:rsidRPr="00F27BA0">
        <w:rPr>
          <w:lang w:val="en-US"/>
        </w:rPr>
        <w:t xml:space="preserve"> gender progressive principles necessitates decisive means of enforcement. The article suggests the judicial process of strategic litigation to enforce compliance and curb the non-implementation of rules and decisions on safeguarding </w:t>
      </w:r>
      <w:r>
        <w:rPr>
          <w:lang w:val="en-US"/>
        </w:rPr>
        <w:t>women’s rights</w:t>
      </w:r>
      <w:r w:rsidRPr="00F27BA0">
        <w:rPr>
          <w:lang w:val="en-US"/>
        </w:rPr>
        <w:t>.</w:t>
      </w:r>
    </w:p>
    <w:p w14:paraId="50CC86F6" w14:textId="77777777" w:rsidR="00537326" w:rsidRPr="00AC14FC" w:rsidRDefault="00537326" w:rsidP="00537326">
      <w:pPr>
        <w:pStyle w:val="Heading2"/>
        <w:rPr>
          <w:lang w:val="en-US"/>
        </w:rPr>
      </w:pPr>
      <w:r w:rsidRPr="0005669D">
        <w:t xml:space="preserve">Discrimination </w:t>
      </w:r>
      <w:r>
        <w:t>a</w:t>
      </w:r>
      <w:r w:rsidRPr="0005669D">
        <w:t>gainst Women</w:t>
      </w:r>
      <w:bookmarkStart w:id="11" w:name="_heading=h.3znysh7" w:colFirst="0" w:colLast="0"/>
      <w:bookmarkEnd w:id="11"/>
      <w:r w:rsidRPr="0005669D">
        <w:t xml:space="preserve"> in Ghana </w:t>
      </w:r>
    </w:p>
    <w:p w14:paraId="51626DD2" w14:textId="77777777" w:rsidR="00537326" w:rsidRPr="00CA5845" w:rsidRDefault="00537326" w:rsidP="00537326">
      <w:pPr>
        <w:pStyle w:val="BodyText"/>
        <w:rPr>
          <w:szCs w:val="22"/>
        </w:rPr>
      </w:pPr>
      <w:r w:rsidRPr="00CA5845">
        <w:rPr>
          <w:szCs w:val="22"/>
        </w:rPr>
        <w:t>Article 22 of Ghana’s Constitution mandates the enactment of legislation to regulate the property rights of spouses, including married women.</w:t>
      </w:r>
      <w:r w:rsidRPr="00CA5845">
        <w:rPr>
          <w:rStyle w:val="FootnoteReference"/>
          <w:szCs w:val="22"/>
        </w:rPr>
        <w:footnoteReference w:id="19"/>
      </w:r>
      <w:r w:rsidRPr="00CA5845">
        <w:rPr>
          <w:szCs w:val="22"/>
        </w:rPr>
        <w:t xml:space="preserve"> However, the absence of legislation on the property rights of spouses has led to significant challenges in implementing women’s property rights in Ghana, despite the article’s general scope. Article 27,</w:t>
      </w:r>
      <w:r w:rsidRPr="00CA5845">
        <w:rPr>
          <w:szCs w:val="22"/>
          <w:vertAlign w:val="superscript"/>
        </w:rPr>
        <w:footnoteReference w:id="20"/>
      </w:r>
      <w:r w:rsidRPr="00CA5845">
        <w:rPr>
          <w:szCs w:val="22"/>
        </w:rPr>
        <w:t xml:space="preserve"> labelled under the topic of women’s rights, interestingly only concentrates on the economic rights of women in Ghana and informs the promulgation of the employment rights of women in the Labour Act.</w:t>
      </w:r>
      <w:r w:rsidRPr="00CA5845">
        <w:rPr>
          <w:szCs w:val="22"/>
          <w:vertAlign w:val="superscript"/>
        </w:rPr>
        <w:footnoteReference w:id="21"/>
      </w:r>
      <w:r w:rsidRPr="00CA5845">
        <w:rPr>
          <w:szCs w:val="22"/>
        </w:rPr>
        <w:t xml:space="preserve"> This was a response to the rise of women’s participation in the labour force from 54.5 per cent to seventy per cent between 1960 and 2010.</w:t>
      </w:r>
      <w:r w:rsidRPr="00CA5845">
        <w:rPr>
          <w:szCs w:val="22"/>
          <w:vertAlign w:val="superscript"/>
        </w:rPr>
        <w:footnoteReference w:id="22"/>
      </w:r>
      <w:r w:rsidRPr="00CA5845">
        <w:rPr>
          <w:szCs w:val="22"/>
        </w:rPr>
        <w:t xml:space="preserve"> The increase necessitated the safeguarding of employment rights relating to night work, overtime by pregnant women,</w:t>
      </w:r>
      <w:r w:rsidRPr="00CA5845">
        <w:rPr>
          <w:szCs w:val="22"/>
          <w:vertAlign w:val="superscript"/>
        </w:rPr>
        <w:footnoteReference w:id="23"/>
      </w:r>
      <w:r w:rsidRPr="00CA5845">
        <w:rPr>
          <w:szCs w:val="22"/>
        </w:rPr>
        <w:t xml:space="preserve"> protection of assignment of pregnant women,</w:t>
      </w:r>
      <w:r w:rsidRPr="00CA5845">
        <w:rPr>
          <w:szCs w:val="22"/>
          <w:vertAlign w:val="superscript"/>
        </w:rPr>
        <w:footnoteReference w:id="24"/>
      </w:r>
      <w:r w:rsidRPr="00CA5845">
        <w:rPr>
          <w:szCs w:val="22"/>
        </w:rPr>
        <w:t xml:space="preserve"> and maternity</w:t>
      </w:r>
      <w:r>
        <w:rPr>
          <w:szCs w:val="22"/>
        </w:rPr>
        <w:t>,</w:t>
      </w:r>
      <w:r w:rsidRPr="00CA5845">
        <w:rPr>
          <w:szCs w:val="22"/>
        </w:rPr>
        <w:t xml:space="preserve"> annual and sick leaves.</w:t>
      </w:r>
      <w:r w:rsidRPr="00CA5845">
        <w:rPr>
          <w:szCs w:val="22"/>
          <w:vertAlign w:val="superscript"/>
        </w:rPr>
        <w:footnoteReference w:id="25"/>
      </w:r>
      <w:r w:rsidRPr="00CA5845">
        <w:rPr>
          <w:szCs w:val="22"/>
        </w:rPr>
        <w:t xml:space="preserve"> The current legal regime of Ghana </w:t>
      </w:r>
      <w:r>
        <w:rPr>
          <w:szCs w:val="22"/>
        </w:rPr>
        <w:t>only addresses</w:t>
      </w:r>
      <w:r w:rsidRPr="00CA5845">
        <w:rPr>
          <w:szCs w:val="22"/>
        </w:rPr>
        <w:t xml:space="preserve"> gender-responsive issues that transcend labour and spousal property rights. Scouting for laws on women’s rights leads to the consultation of various </w:t>
      </w:r>
      <w:r>
        <w:rPr>
          <w:szCs w:val="22"/>
        </w:rPr>
        <w:t>p</w:t>
      </w:r>
      <w:r w:rsidRPr="00CA5845">
        <w:rPr>
          <w:szCs w:val="22"/>
        </w:rPr>
        <w:t>arliamentary Acts and scattered laws.</w:t>
      </w:r>
      <w:r w:rsidRPr="00CA5845">
        <w:rPr>
          <w:rStyle w:val="FootnoteReference"/>
          <w:szCs w:val="22"/>
        </w:rPr>
        <w:footnoteReference w:id="26"/>
      </w:r>
      <w:r w:rsidRPr="00CA5845">
        <w:rPr>
          <w:szCs w:val="22"/>
        </w:rPr>
        <w:t xml:space="preserve"> An extensive legal framework should consider other areas such as politics and governance, education, climate change, information technology and the economic sector to achieve gender parity. </w:t>
      </w:r>
    </w:p>
    <w:p w14:paraId="481C050E" w14:textId="77777777" w:rsidR="00537326" w:rsidRPr="00AB4193" w:rsidRDefault="00537326" w:rsidP="00537326">
      <w:pPr>
        <w:pStyle w:val="Heading3"/>
      </w:pPr>
      <w:r w:rsidRPr="00AB4193">
        <w:lastRenderedPageBreak/>
        <w:t>Ghanaian Women in Politics and Governance</w:t>
      </w:r>
    </w:p>
    <w:p w14:paraId="75FAB5E9" w14:textId="77777777" w:rsidR="00537326" w:rsidRPr="0005669D" w:rsidRDefault="00537326" w:rsidP="00537326">
      <w:pPr>
        <w:pStyle w:val="BodyText"/>
      </w:pPr>
      <w:r>
        <w:t>D</w:t>
      </w:r>
      <w:r w:rsidRPr="0005669D">
        <w:t>iscrimination in</w:t>
      </w:r>
      <w:r>
        <w:t xml:space="preserve"> </w:t>
      </w:r>
      <w:r w:rsidRPr="0005669D">
        <w:t>political participation</w:t>
      </w:r>
      <w:r>
        <w:t xml:space="preserve"> is a challenge</w:t>
      </w:r>
      <w:r w:rsidRPr="0005669D">
        <w:t>, with a lower percentage than the United Nations (UN)</w:t>
      </w:r>
      <w:r>
        <w:t xml:space="preserve"> per cent </w:t>
      </w:r>
      <w:r w:rsidRPr="0005669D">
        <w:t>benchmark for policy-making positions.</w:t>
      </w:r>
      <w:r w:rsidRPr="0005669D">
        <w:rPr>
          <w:vertAlign w:val="superscript"/>
        </w:rPr>
        <w:footnoteReference w:id="27"/>
      </w:r>
      <w:r w:rsidRPr="0005669D">
        <w:t xml:space="preserve"> The current female </w:t>
      </w:r>
      <w:r>
        <w:t xml:space="preserve">legislative </w:t>
      </w:r>
      <w:r w:rsidRPr="0005669D">
        <w:t>representation is 14.5</w:t>
      </w:r>
      <w:r>
        <w:t xml:space="preserve"> per cent and below five per cent </w:t>
      </w:r>
      <w:r w:rsidRPr="0005669D">
        <w:t>in the District Assembly</w:t>
      </w:r>
      <w:r>
        <w:t xml:space="preserve"> </w:t>
      </w:r>
      <w:r w:rsidRPr="0005669D">
        <w:t>System.</w:t>
      </w:r>
      <w:r w:rsidRPr="0005669D">
        <w:rPr>
          <w:vertAlign w:val="superscript"/>
        </w:rPr>
        <w:footnoteReference w:id="28"/>
      </w:r>
      <w:r w:rsidRPr="0005669D">
        <w:t xml:space="preserve"> The government</w:t>
      </w:r>
      <w:r>
        <w:t>’</w:t>
      </w:r>
      <w:r w:rsidRPr="0005669D">
        <w:t>s ministerial, ambassadorial and board appointments are</w:t>
      </w:r>
      <w:r>
        <w:t xml:space="preserve"> situationally the same,</w:t>
      </w:r>
      <w:r w:rsidRPr="0005669D">
        <w:t xml:space="preserve"> </w:t>
      </w:r>
      <w:r>
        <w:t>a</w:t>
      </w:r>
      <w:r w:rsidRPr="0005669D">
        <w:t xml:space="preserve">lbeit international protocols aim for </w:t>
      </w:r>
      <w:r>
        <w:t xml:space="preserve">thirty to forty per cent </w:t>
      </w:r>
      <w:r w:rsidRPr="0005669D">
        <w:t>representation</w:t>
      </w:r>
      <w:r>
        <w:t>.</w:t>
      </w:r>
      <w:r w:rsidRPr="0005669D">
        <w:t xml:space="preserve"> </w:t>
      </w:r>
      <w:r>
        <w:t xml:space="preserve">The low representation of women </w:t>
      </w:r>
      <w:r w:rsidRPr="0005669D">
        <w:t xml:space="preserve">in key decision-making spaces </w:t>
      </w:r>
      <w:r>
        <w:t xml:space="preserve">in Ghana </w:t>
      </w:r>
      <w:r w:rsidRPr="0005669D">
        <w:t>hinders their effective contributions to the country</w:t>
      </w:r>
      <w:r>
        <w:t>’</w:t>
      </w:r>
      <w:r w:rsidRPr="0005669D">
        <w:t xml:space="preserve">s political progress. </w:t>
      </w:r>
      <w:r>
        <w:t>The affirmative action bill has yielded l</w:t>
      </w:r>
      <w:r w:rsidRPr="0005669D">
        <w:t>imited results</w:t>
      </w:r>
      <w:r>
        <w:t>.</w:t>
      </w:r>
      <w:r w:rsidRPr="0005669D">
        <w:t xml:space="preserve"> </w:t>
      </w:r>
      <w:r>
        <w:t xml:space="preserve">Despite its </w:t>
      </w:r>
      <w:r w:rsidRPr="0005669D">
        <w:t xml:space="preserve">aim to advance female representation in politics and governance, </w:t>
      </w:r>
      <w:r>
        <w:t xml:space="preserve">women occupy </w:t>
      </w:r>
      <w:r w:rsidRPr="0005669D">
        <w:t>14.5</w:t>
      </w:r>
      <w:r>
        <w:t xml:space="preserve"> per cent </w:t>
      </w:r>
      <w:r w:rsidRPr="0005669D">
        <w:t xml:space="preserve">of parliamentary </w:t>
      </w:r>
      <w:r>
        <w:t>seats</w:t>
      </w:r>
      <w:r w:rsidRPr="0005669D">
        <w:t>, six decades after independence.</w:t>
      </w:r>
      <w:r w:rsidRPr="0005669D">
        <w:rPr>
          <w:vertAlign w:val="superscript"/>
        </w:rPr>
        <w:footnoteReference w:id="29"/>
      </w:r>
      <w:r w:rsidRPr="0005669D">
        <w:t xml:space="preserve"> The government</w:t>
      </w:r>
      <w:r>
        <w:t>’</w:t>
      </w:r>
      <w:r w:rsidRPr="0005669D">
        <w:t xml:space="preserve">s </w:t>
      </w:r>
      <w:r w:rsidRPr="00302D6F">
        <w:t>inaction to promote women’s participation in politics and governance hinders inclusivity</w:t>
      </w:r>
      <w:r>
        <w:t>.</w:t>
      </w:r>
      <w:r w:rsidRPr="00302D6F">
        <w:t xml:space="preserve"> </w:t>
      </w:r>
    </w:p>
    <w:p w14:paraId="2E21A4F4" w14:textId="77777777" w:rsidR="00537326" w:rsidRPr="0005669D" w:rsidRDefault="00537326" w:rsidP="00537326">
      <w:pPr>
        <w:pStyle w:val="BodyText"/>
      </w:pPr>
      <w:r w:rsidRPr="0005669D">
        <w:t>Signing numerous treaties and protocols mandated to promote gender equality</w:t>
      </w:r>
      <w:r w:rsidRPr="0005669D">
        <w:rPr>
          <w:vertAlign w:val="superscript"/>
        </w:rPr>
        <w:footnoteReference w:id="30"/>
      </w:r>
      <w:r w:rsidRPr="0005669D">
        <w:t xml:space="preserve"> should translate to implementing </w:t>
      </w:r>
      <w:r>
        <w:t>pro-active gender laws</w:t>
      </w:r>
      <w:r w:rsidRPr="0005669D">
        <w:t>.</w:t>
      </w:r>
      <w:r w:rsidRPr="0005669D">
        <w:rPr>
          <w:vertAlign w:val="superscript"/>
        </w:rPr>
        <w:footnoteReference w:id="31"/>
      </w:r>
      <w:r w:rsidRPr="0005669D">
        <w:t xml:space="preserve"> This </w:t>
      </w:r>
      <w:r>
        <w:t>should include</w:t>
      </w:r>
      <w:r w:rsidRPr="0005669D">
        <w:t xml:space="preserve"> striv</w:t>
      </w:r>
      <w:r>
        <w:t xml:space="preserve">ing </w:t>
      </w:r>
      <w:r w:rsidRPr="0005669D">
        <w:t>to eliminate gender discrimination in politics and public life, ensuring equal voting rights for women in elections and public referenda as well as promoting full political and governance participation.</w:t>
      </w:r>
      <w:r w:rsidRPr="0005669D">
        <w:rPr>
          <w:vertAlign w:val="superscript"/>
        </w:rPr>
        <w:footnoteReference w:id="32"/>
      </w:r>
      <w:r w:rsidRPr="0005669D">
        <w:t xml:space="preserve"> Requisite measures to endorse the eligibility of women for all </w:t>
      </w:r>
      <w:r w:rsidRPr="00302D6F">
        <w:t>publicly elected positions</w:t>
      </w:r>
      <w:r w:rsidRPr="0005669D">
        <w:t xml:space="preserve"> and elections such as insisting on a </w:t>
      </w:r>
      <w:r w:rsidRPr="00302D6F">
        <w:t>commendable</w:t>
      </w:r>
      <w:r w:rsidRPr="0005669D">
        <w:t xml:space="preserve"> quota of women participation in the three arms of government is compulsory.</w:t>
      </w:r>
      <w:r w:rsidRPr="0005669D">
        <w:rPr>
          <w:vertAlign w:val="superscript"/>
        </w:rPr>
        <w:footnoteReference w:id="33"/>
      </w:r>
      <w:r w:rsidRPr="00E41BD8">
        <w:t xml:space="preserve"> Women should be empowered to actively participate in government policy formulation, public office and public functions, </w:t>
      </w:r>
      <w:r w:rsidRPr="00302D6F">
        <w:t>with a flexible working environment, including remote work, enabling a balance between political careers and domestic responsibilities.</w:t>
      </w:r>
      <w:r w:rsidRPr="0005669D">
        <w:rPr>
          <w:vertAlign w:val="superscript"/>
        </w:rPr>
        <w:footnoteReference w:id="34"/>
      </w:r>
      <w:r w:rsidRPr="0005669D">
        <w:t xml:space="preserve"> </w:t>
      </w:r>
      <w:r>
        <w:t>T</w:t>
      </w:r>
      <w:r w:rsidRPr="0005669D">
        <w:t xml:space="preserve">he positioning of women </w:t>
      </w:r>
      <w:r>
        <w:t xml:space="preserve">in politics </w:t>
      </w:r>
      <w:r w:rsidRPr="0005669D">
        <w:t xml:space="preserve">advances </w:t>
      </w:r>
      <w:r>
        <w:t xml:space="preserve">female-related </w:t>
      </w:r>
      <w:r w:rsidRPr="0005669D">
        <w:t xml:space="preserve">cutting-edge policies and </w:t>
      </w:r>
      <w:r w:rsidRPr="0005669D">
        <w:lastRenderedPageBreak/>
        <w:t>proffers effective</w:t>
      </w:r>
      <w:r>
        <w:t xml:space="preserve"> governmental </w:t>
      </w:r>
      <w:r w:rsidRPr="0005669D">
        <w:t>solutions</w:t>
      </w:r>
      <w:r w:rsidRPr="0005669D">
        <w:rPr>
          <w:vertAlign w:val="superscript"/>
        </w:rPr>
        <w:footnoteReference w:id="35"/>
      </w:r>
      <w:r w:rsidRPr="0005669D">
        <w:t xml:space="preserve"> in public decision-making </w:t>
      </w:r>
      <w:r>
        <w:t xml:space="preserve">to ensure </w:t>
      </w:r>
      <w:r w:rsidRPr="0005669D">
        <w:t>accountability and</w:t>
      </w:r>
      <w:r>
        <w:t xml:space="preserve"> transparency</w:t>
      </w:r>
      <w:r w:rsidRPr="0005669D">
        <w:t>.</w:t>
      </w:r>
      <w:r w:rsidRPr="0005669D">
        <w:rPr>
          <w:vertAlign w:val="superscript"/>
        </w:rPr>
        <w:footnoteReference w:id="36"/>
      </w:r>
      <w:r w:rsidRPr="0005669D">
        <w:t xml:space="preserve"> </w:t>
      </w:r>
    </w:p>
    <w:p w14:paraId="5BC2017A" w14:textId="77777777" w:rsidR="00537326" w:rsidRPr="0005669D" w:rsidRDefault="00537326" w:rsidP="00537326">
      <w:pPr>
        <w:pStyle w:val="BodyText"/>
      </w:pPr>
      <w:r w:rsidRPr="0005669D">
        <w:t>The monetisation of political appointments in Ghana is an informal institutional barrier hampering female political representation.</w:t>
      </w:r>
      <w:r w:rsidRPr="0005669D">
        <w:rPr>
          <w:vertAlign w:val="superscript"/>
        </w:rPr>
        <w:footnoteReference w:id="37"/>
      </w:r>
      <w:r>
        <w:t xml:space="preserve"> </w:t>
      </w:r>
      <w:r w:rsidRPr="0005669D">
        <w:t>The hindrance involves citizens exchanging voting rights for financial resources.</w:t>
      </w:r>
      <w:r w:rsidRPr="0005669D">
        <w:rPr>
          <w:vertAlign w:val="superscript"/>
        </w:rPr>
        <w:footnoteReference w:id="38"/>
      </w:r>
      <w:r w:rsidRPr="0005669D">
        <w:t xml:space="preserve"> Political party appointments are largely centred on one’s ability to lavish money buying the votes of party delegates.</w:t>
      </w:r>
      <w:r w:rsidRPr="0005669D">
        <w:rPr>
          <w:vertAlign w:val="superscript"/>
        </w:rPr>
        <w:footnoteReference w:id="39"/>
      </w:r>
      <w:r w:rsidRPr="0005669D">
        <w:t xml:space="preserve"> Female </w:t>
      </w:r>
      <w:r>
        <w:t>m</w:t>
      </w:r>
      <w:r w:rsidRPr="0005669D">
        <w:t xml:space="preserve">embers of </w:t>
      </w:r>
      <w:r>
        <w:t>p</w:t>
      </w:r>
      <w:r w:rsidRPr="0005669D">
        <w:t>arliament face high expenses for campaigning</w:t>
      </w:r>
      <w:r>
        <w:t>,</w:t>
      </w:r>
      <w:r w:rsidRPr="0005669D">
        <w:t xml:space="preserve"> </w:t>
      </w:r>
      <w:r>
        <w:t xml:space="preserve">ranging from making </w:t>
      </w:r>
      <w:r w:rsidRPr="0005669D">
        <w:t>branded T-shirts, fuelling campaign vehicles</w:t>
      </w:r>
      <w:r>
        <w:t xml:space="preserve">, </w:t>
      </w:r>
      <w:r w:rsidRPr="0005669D">
        <w:t>and catering for volunteers and party workers.</w:t>
      </w:r>
      <w:r w:rsidRPr="0005669D">
        <w:rPr>
          <w:vertAlign w:val="superscript"/>
        </w:rPr>
        <w:footnoteReference w:id="40"/>
      </w:r>
      <w:r>
        <w:t xml:space="preserve"> </w:t>
      </w:r>
      <w:r w:rsidRPr="0018137A">
        <w:t>The increase in campaign expenditure over the years and the lack of resources to meet demand ha</w:t>
      </w:r>
      <w:r>
        <w:t>ve</w:t>
      </w:r>
      <w:r w:rsidRPr="0018137A">
        <w:t xml:space="preserve"> contributed to the under-representation of women in governance structures and decision-making positions.</w:t>
      </w:r>
      <w:r w:rsidRPr="0005669D">
        <w:rPr>
          <w:vertAlign w:val="superscript"/>
        </w:rPr>
        <w:footnoteReference w:id="41"/>
      </w:r>
      <w:r w:rsidRPr="0005669D">
        <w:t xml:space="preserve"> </w:t>
      </w:r>
    </w:p>
    <w:p w14:paraId="3CBF812F" w14:textId="77777777" w:rsidR="00537326" w:rsidRPr="0005669D" w:rsidRDefault="00537326" w:rsidP="00537326">
      <w:pPr>
        <w:pStyle w:val="Heading3"/>
      </w:pPr>
      <w:bookmarkStart w:id="23" w:name="_heading=h.2et92p0" w:colFirst="0" w:colLast="0"/>
      <w:bookmarkEnd w:id="23"/>
      <w:r w:rsidRPr="0005669D">
        <w:t xml:space="preserve">Educational Standards for Eliminating Discrimination </w:t>
      </w:r>
    </w:p>
    <w:p w14:paraId="19CBB614" w14:textId="77777777" w:rsidR="00537326" w:rsidRPr="00CA5845" w:rsidRDefault="00537326" w:rsidP="00537326">
      <w:pPr>
        <w:pStyle w:val="BodyText"/>
        <w:rPr>
          <w:szCs w:val="22"/>
        </w:rPr>
      </w:pPr>
      <w:r w:rsidRPr="0005669D">
        <w:t>The significance of educating girls is globally accepted</w:t>
      </w:r>
      <w:r>
        <w:t>,</w:t>
      </w:r>
      <w:r w:rsidRPr="0005669D">
        <w:rPr>
          <w:vertAlign w:val="superscript"/>
        </w:rPr>
        <w:footnoteReference w:id="42"/>
      </w:r>
      <w:r w:rsidRPr="0005669D">
        <w:t xml:space="preserve"> and is linked to improved child health, lower rates of infant mortality and lower rates of fertility</w:t>
      </w:r>
      <w:r>
        <w:t>.</w:t>
      </w:r>
      <w:r w:rsidRPr="0005669D">
        <w:rPr>
          <w:vertAlign w:val="superscript"/>
        </w:rPr>
        <w:footnoteReference w:id="43"/>
      </w:r>
      <w:r w:rsidRPr="0005669D">
        <w:t xml:space="preserve"> </w:t>
      </w:r>
      <w:r>
        <w:t xml:space="preserve">It is also connected with </w:t>
      </w:r>
      <w:r w:rsidRPr="0005669D">
        <w:t>ensuring equal rights with men.</w:t>
      </w:r>
      <w:r w:rsidRPr="0005669D">
        <w:rPr>
          <w:vertAlign w:val="superscript"/>
        </w:rPr>
        <w:footnoteReference w:id="44"/>
      </w:r>
      <w:r w:rsidRPr="0005669D">
        <w:t xml:space="preserve"> Ghana</w:t>
      </w:r>
      <w:r>
        <w:t>’</w:t>
      </w:r>
      <w:r w:rsidRPr="0005669D">
        <w:t>s Gender Parity Index (GPI) shows a 1.01</w:t>
      </w:r>
      <w:r>
        <w:t xml:space="preserve"> per cent </w:t>
      </w:r>
      <w:r w:rsidRPr="0005669D">
        <w:t>increase in education disparity between boys and girls, indicating a need for equal rights for girls.</w:t>
      </w:r>
      <w:r w:rsidRPr="0005669D">
        <w:rPr>
          <w:vertAlign w:val="superscript"/>
        </w:rPr>
        <w:footnoteReference w:id="45"/>
      </w:r>
      <w:r w:rsidRPr="0005669D">
        <w:t xml:space="preserve"> The female enrolment in tertiary education after completing </w:t>
      </w:r>
      <w:r>
        <w:t>s</w:t>
      </w:r>
      <w:r w:rsidRPr="0005669D">
        <w:t xml:space="preserve">enior </w:t>
      </w:r>
      <w:r>
        <w:t>h</w:t>
      </w:r>
      <w:r w:rsidRPr="0005669D">
        <w:t xml:space="preserve">igh </w:t>
      </w:r>
      <w:r>
        <w:t>s</w:t>
      </w:r>
      <w:r w:rsidRPr="0005669D">
        <w:t>chool (SHS) is 17.7</w:t>
      </w:r>
      <w:r>
        <w:t xml:space="preserve"> per cent</w:t>
      </w:r>
      <w:r w:rsidRPr="0005669D">
        <w:t xml:space="preserve">, while the male enrolment rate is </w:t>
      </w:r>
      <w:r w:rsidRPr="0005669D">
        <w:lastRenderedPageBreak/>
        <w:t>19.6</w:t>
      </w:r>
      <w:r>
        <w:t xml:space="preserve"> per cent</w:t>
      </w:r>
      <w:r w:rsidRPr="0005669D">
        <w:t xml:space="preserve"> despite a higher c</w:t>
      </w:r>
      <w:r w:rsidRPr="00CA5845">
        <w:rPr>
          <w:szCs w:val="22"/>
        </w:rPr>
        <w:t>ompletion rate in favour of girls.</w:t>
      </w:r>
      <w:r w:rsidRPr="00CA5845">
        <w:rPr>
          <w:szCs w:val="22"/>
          <w:vertAlign w:val="superscript"/>
        </w:rPr>
        <w:footnoteReference w:id="46"/>
      </w:r>
      <w:r w:rsidRPr="00CA5845">
        <w:rPr>
          <w:szCs w:val="22"/>
        </w:rPr>
        <w:t xml:space="preserve">  The World Bank and UNESCO Institute of Statistics provide that the primary school completion rate </w:t>
      </w:r>
      <w:r>
        <w:rPr>
          <w:szCs w:val="22"/>
        </w:rPr>
        <w:t xml:space="preserve">in 2018 </w:t>
      </w:r>
      <w:r w:rsidRPr="00CA5845">
        <w:rPr>
          <w:szCs w:val="22"/>
        </w:rPr>
        <w:t xml:space="preserve">was ninety-three per cent for boys and ninety-five per cent for girls. </w:t>
      </w:r>
      <w:r>
        <w:rPr>
          <w:szCs w:val="22"/>
        </w:rPr>
        <w:t xml:space="preserve">In 2019, the </w:t>
      </w:r>
      <w:r w:rsidRPr="00CA5845">
        <w:rPr>
          <w:szCs w:val="22"/>
        </w:rPr>
        <w:t>secondary completion rate was seventy-eight per cent for boys and seventy-one for girls in 2019. Regardless of these rates, the gross enrolment in tertiary education was twenty per cent for men in 2020 versus eighteen per cent for women.</w:t>
      </w:r>
      <w:r w:rsidRPr="00CA5845">
        <w:rPr>
          <w:rStyle w:val="FootnoteReference"/>
          <w:szCs w:val="22"/>
        </w:rPr>
        <w:footnoteReference w:id="47"/>
      </w:r>
      <w:r w:rsidRPr="00CA5845">
        <w:rPr>
          <w:szCs w:val="22"/>
        </w:rPr>
        <w:t xml:space="preserve"> Ghana has achieved commendable strides in gender equality since 1971, with an increase in enrolment rates for girls</w:t>
      </w:r>
      <w:r>
        <w:rPr>
          <w:szCs w:val="22"/>
        </w:rPr>
        <w:t>;</w:t>
      </w:r>
      <w:r w:rsidRPr="00CA5845">
        <w:rPr>
          <w:szCs w:val="22"/>
        </w:rPr>
        <w:t xml:space="preserve"> </w:t>
      </w:r>
      <w:r>
        <w:rPr>
          <w:szCs w:val="22"/>
        </w:rPr>
        <w:t xml:space="preserve">however, the country </w:t>
      </w:r>
      <w:r w:rsidRPr="00CA5845">
        <w:rPr>
          <w:szCs w:val="22"/>
        </w:rPr>
        <w:t xml:space="preserve">still needs </w:t>
      </w:r>
      <w:r>
        <w:rPr>
          <w:szCs w:val="22"/>
        </w:rPr>
        <w:t xml:space="preserve">to </w:t>
      </w:r>
      <w:r w:rsidRPr="00CA5845">
        <w:rPr>
          <w:szCs w:val="22"/>
        </w:rPr>
        <w:t>improve to ensure continued growth.</w:t>
      </w:r>
      <w:r w:rsidRPr="00CA5845">
        <w:rPr>
          <w:szCs w:val="22"/>
          <w:vertAlign w:val="superscript"/>
        </w:rPr>
        <w:footnoteReference w:id="48"/>
      </w:r>
      <w:r w:rsidRPr="00CA5845">
        <w:rPr>
          <w:szCs w:val="22"/>
        </w:rPr>
        <w:t xml:space="preserve"> </w:t>
      </w:r>
    </w:p>
    <w:p w14:paraId="3714D41D" w14:textId="77777777" w:rsidR="00537326" w:rsidRPr="00CA5845" w:rsidRDefault="00537326" w:rsidP="00537326">
      <w:pPr>
        <w:pStyle w:val="BodyText"/>
        <w:rPr>
          <w:szCs w:val="22"/>
        </w:rPr>
      </w:pPr>
      <w:bookmarkStart w:id="24" w:name="_heading=h.tyjcwt" w:colFirst="0" w:colLast="0"/>
      <w:bookmarkEnd w:id="24"/>
      <w:r w:rsidRPr="00CA5845">
        <w:rPr>
          <w:szCs w:val="22"/>
        </w:rPr>
        <w:t>Despite improvements in reducing gender disparity, females face discouraging educational challenges, including early marriage, pregnancy, poverty and sexual harassment.</w:t>
      </w:r>
      <w:r w:rsidRPr="00CA5845">
        <w:rPr>
          <w:szCs w:val="22"/>
          <w:vertAlign w:val="superscript"/>
        </w:rPr>
        <w:footnoteReference w:id="49"/>
      </w:r>
      <w:r w:rsidRPr="00CA5845">
        <w:rPr>
          <w:szCs w:val="22"/>
        </w:rPr>
        <w:t xml:space="preserve"> From 2017 to the present, fourteen per cent of Ghanaian girls aged fifteen to nineteen have at least one child, according to adolescent pregnancy statistics.</w:t>
      </w:r>
      <w:r w:rsidRPr="00CA5845">
        <w:rPr>
          <w:szCs w:val="22"/>
          <w:vertAlign w:val="superscript"/>
        </w:rPr>
        <w:footnoteReference w:id="50"/>
      </w:r>
      <w:r w:rsidRPr="00CA5845">
        <w:rPr>
          <w:szCs w:val="22"/>
        </w:rPr>
        <w:t xml:space="preserve"> The figure excludes the number of aborted foetuses. About fifty-two per cent have experienced gender-based violence and sexual harassment at school, causing them to avoid attending school and potentially reducing their attendance. </w:t>
      </w:r>
      <w:r>
        <w:rPr>
          <w:szCs w:val="22"/>
        </w:rPr>
        <w:t xml:space="preserve">A significant number </w:t>
      </w:r>
      <w:r w:rsidRPr="00CA5845">
        <w:rPr>
          <w:szCs w:val="22"/>
        </w:rPr>
        <w:t>of school-aged girls have reported experiencing sexual violence during their educational journey.</w:t>
      </w:r>
      <w:r w:rsidRPr="00CA5845">
        <w:rPr>
          <w:szCs w:val="22"/>
          <w:vertAlign w:val="superscript"/>
        </w:rPr>
        <w:footnoteReference w:id="51"/>
      </w:r>
      <w:r w:rsidRPr="00CA5845">
        <w:rPr>
          <w:szCs w:val="22"/>
        </w:rPr>
        <w:t xml:space="preserve"> In July 2018, a senior high school reported sexual violence accusations against eight teachers</w:t>
      </w:r>
      <w:r>
        <w:rPr>
          <w:szCs w:val="22"/>
        </w:rPr>
        <w:t>;</w:t>
      </w:r>
      <w:r w:rsidRPr="00CA5845">
        <w:rPr>
          <w:szCs w:val="22"/>
        </w:rPr>
        <w:t xml:space="preserve"> only four </w:t>
      </w:r>
      <w:r>
        <w:rPr>
          <w:szCs w:val="22"/>
        </w:rPr>
        <w:t xml:space="preserve">were </w:t>
      </w:r>
      <w:r w:rsidRPr="00CA5845">
        <w:rPr>
          <w:szCs w:val="22"/>
        </w:rPr>
        <w:t>indicted for their crimes.</w:t>
      </w:r>
      <w:r w:rsidRPr="00CA5845">
        <w:rPr>
          <w:szCs w:val="22"/>
          <w:vertAlign w:val="superscript"/>
        </w:rPr>
        <w:footnoteReference w:id="52"/>
      </w:r>
      <w:r w:rsidRPr="00CA5845">
        <w:rPr>
          <w:szCs w:val="22"/>
        </w:rPr>
        <w:t xml:space="preserve"> </w:t>
      </w:r>
    </w:p>
    <w:p w14:paraId="351A34E0" w14:textId="77777777" w:rsidR="00537326" w:rsidRPr="0005669D" w:rsidRDefault="00537326" w:rsidP="00537326">
      <w:pPr>
        <w:pStyle w:val="BodyText"/>
      </w:pPr>
      <w:r w:rsidRPr="00CA5845">
        <w:rPr>
          <w:szCs w:val="22"/>
        </w:rPr>
        <w:t>Women and girls are often denied education due to natural occurrences in their bodies such as menstrual cycle blood flow; sanitary pads are also considered a luxury.</w:t>
      </w:r>
      <w:r w:rsidRPr="00CA5845">
        <w:rPr>
          <w:szCs w:val="22"/>
          <w:vertAlign w:val="superscript"/>
        </w:rPr>
        <w:footnoteReference w:id="53"/>
      </w:r>
      <w:r w:rsidRPr="00CA5845">
        <w:rPr>
          <w:szCs w:val="22"/>
        </w:rPr>
        <w:t xml:space="preserve"> Young females who live in rural areas often miss school due to financial constraints </w:t>
      </w:r>
      <w:r>
        <w:rPr>
          <w:szCs w:val="22"/>
        </w:rPr>
        <w:t>or</w:t>
      </w:r>
      <w:r w:rsidRPr="00CA5845">
        <w:rPr>
          <w:szCs w:val="22"/>
        </w:rPr>
        <w:t xml:space="preserve"> </w:t>
      </w:r>
      <w:r>
        <w:rPr>
          <w:szCs w:val="22"/>
        </w:rPr>
        <w:t xml:space="preserve">because they want </w:t>
      </w:r>
      <w:r w:rsidRPr="00CA5845">
        <w:rPr>
          <w:szCs w:val="22"/>
        </w:rPr>
        <w:t>to avoid public humiliation and shame due to the lack of necessities such as sanitary pads.</w:t>
      </w:r>
      <w:r w:rsidRPr="00CA5845">
        <w:rPr>
          <w:rStyle w:val="FootnoteReference"/>
          <w:szCs w:val="22"/>
        </w:rPr>
        <w:footnoteReference w:id="54"/>
      </w:r>
      <w:r w:rsidRPr="00CA5845">
        <w:rPr>
          <w:szCs w:val="22"/>
        </w:rPr>
        <w:t xml:space="preserve"> Women in Ghana’s Education Service (GES) hold limited leadership rol</w:t>
      </w:r>
      <w:r w:rsidRPr="0005669D">
        <w:t xml:space="preserve">es, primarily as teachers in nursery and primary schools, with few becoming school </w:t>
      </w:r>
      <w:r w:rsidRPr="0005669D">
        <w:lastRenderedPageBreak/>
        <w:t>heads.</w:t>
      </w:r>
      <w:r w:rsidRPr="0005669D">
        <w:rPr>
          <w:vertAlign w:val="superscript"/>
        </w:rPr>
        <w:footnoteReference w:id="55"/>
      </w:r>
      <w:r w:rsidRPr="0005669D">
        <w:t xml:space="preserve"> Men dominate headship positions in </w:t>
      </w:r>
      <w:r>
        <w:t>j</w:t>
      </w:r>
      <w:r w:rsidRPr="0005669D">
        <w:t xml:space="preserve">unior </w:t>
      </w:r>
      <w:r>
        <w:t>h</w:t>
      </w:r>
      <w:r w:rsidRPr="0005669D">
        <w:t xml:space="preserve">igh </w:t>
      </w:r>
      <w:r>
        <w:t>s</w:t>
      </w:r>
      <w:r w:rsidRPr="0005669D">
        <w:t>chool</w:t>
      </w:r>
      <w:r>
        <w:t>s</w:t>
      </w:r>
      <w:r w:rsidRPr="0005669D">
        <w:t xml:space="preserve"> and </w:t>
      </w:r>
      <w:r>
        <w:t>s</w:t>
      </w:r>
      <w:r w:rsidRPr="0005669D">
        <w:t xml:space="preserve">enior </w:t>
      </w:r>
      <w:r>
        <w:t>h</w:t>
      </w:r>
      <w:r w:rsidRPr="0005669D">
        <w:t xml:space="preserve">igh </w:t>
      </w:r>
      <w:r>
        <w:t>s</w:t>
      </w:r>
      <w:r w:rsidRPr="0005669D">
        <w:t>chool</w:t>
      </w:r>
      <w:r>
        <w:t>s</w:t>
      </w:r>
      <w:r w:rsidRPr="0005669D">
        <w:t xml:space="preserve">, with female managers and administrators occupying insignificant roles especially at the tertiary levels, particularly in </w:t>
      </w:r>
      <w:r>
        <w:t>c</w:t>
      </w:r>
      <w:r w:rsidRPr="0005669D">
        <w:t xml:space="preserve">olleges of </w:t>
      </w:r>
      <w:r>
        <w:t>e</w:t>
      </w:r>
      <w:r w:rsidRPr="0005669D">
        <w:t xml:space="preserve">ducation and </w:t>
      </w:r>
      <w:r>
        <w:t>p</w:t>
      </w:r>
      <w:r w:rsidRPr="0005669D">
        <w:t>olytechnics.</w:t>
      </w:r>
      <w:r w:rsidRPr="0005669D">
        <w:rPr>
          <w:vertAlign w:val="superscript"/>
        </w:rPr>
        <w:footnoteReference w:id="56"/>
      </w:r>
      <w:r w:rsidRPr="0005669D">
        <w:t xml:space="preserve"> </w:t>
      </w:r>
      <w:r w:rsidRPr="00D34480">
        <w:t xml:space="preserve">Women hold </w:t>
      </w:r>
      <w:r>
        <w:t>positions with limited</w:t>
      </w:r>
      <w:r w:rsidRPr="00D34480">
        <w:t xml:space="preserve"> authority</w:t>
      </w:r>
      <w:r w:rsidRPr="0005669D">
        <w:t xml:space="preserve"> and </w:t>
      </w:r>
      <w:r>
        <w:t xml:space="preserve">fewer </w:t>
      </w:r>
      <w:r w:rsidRPr="0005669D">
        <w:t>administrative positions than men in the academic sector.</w:t>
      </w:r>
      <w:r w:rsidRPr="0005669D">
        <w:rPr>
          <w:vertAlign w:val="superscript"/>
        </w:rPr>
        <w:footnoteReference w:id="57"/>
      </w:r>
      <w:r w:rsidRPr="0005669D">
        <w:t xml:space="preserve"> Despite progress in female higher education, gender imbalance persists in leadership positions in the education </w:t>
      </w:r>
      <w:r w:rsidRPr="00D34480">
        <w:t>service</w:t>
      </w:r>
      <w:r w:rsidRPr="0005669D">
        <w:t>.</w:t>
      </w:r>
      <w:r w:rsidRPr="0005669D">
        <w:rPr>
          <w:vertAlign w:val="superscript"/>
        </w:rPr>
        <w:footnoteReference w:id="58"/>
      </w:r>
    </w:p>
    <w:p w14:paraId="496B5522" w14:textId="77777777" w:rsidR="00537326" w:rsidRPr="0005669D" w:rsidRDefault="00537326" w:rsidP="00537326">
      <w:pPr>
        <w:pStyle w:val="Heading3"/>
      </w:pPr>
      <w:r w:rsidRPr="0005669D">
        <w:t xml:space="preserve">Effects of Climate Change on Women’s Rights </w:t>
      </w:r>
    </w:p>
    <w:p w14:paraId="35ADD870" w14:textId="77777777" w:rsidR="00537326" w:rsidRPr="0005669D" w:rsidRDefault="00537326" w:rsidP="00537326">
      <w:pPr>
        <w:pStyle w:val="BodyText"/>
      </w:pPr>
      <w:r w:rsidRPr="0005669D">
        <w:t xml:space="preserve">Climate change and socio-economic conditions pose significant threats </w:t>
      </w:r>
      <w:r>
        <w:t xml:space="preserve">to </w:t>
      </w:r>
      <w:r w:rsidRPr="0005669D">
        <w:t>agriculture, food security, biodiversity, water resources, human health, settlement patterns, energy, transport and industry.</w:t>
      </w:r>
      <w:r w:rsidRPr="0005669D">
        <w:rPr>
          <w:vertAlign w:val="superscript"/>
        </w:rPr>
        <w:footnoteReference w:id="59"/>
      </w:r>
      <w:r>
        <w:t xml:space="preserve"> Women’s p</w:t>
      </w:r>
      <w:r w:rsidRPr="0005669D">
        <w:t>articipation in scientific disciplines</w:t>
      </w:r>
      <w:r>
        <w:t>,</w:t>
      </w:r>
      <w:r w:rsidRPr="0005669D">
        <w:t xml:space="preserve"> </w:t>
      </w:r>
      <w:r>
        <w:t xml:space="preserve">and </w:t>
      </w:r>
      <w:r w:rsidRPr="0005669D">
        <w:t xml:space="preserve">environmental and climate change structures is limited, hindering </w:t>
      </w:r>
      <w:r>
        <w:t xml:space="preserve">their </w:t>
      </w:r>
      <w:r w:rsidRPr="0005669D">
        <w:t>ability to articulate their concerns and influence mitigation and adaptation measures.</w:t>
      </w:r>
      <w:r w:rsidRPr="0005669D">
        <w:rPr>
          <w:vertAlign w:val="superscript"/>
        </w:rPr>
        <w:footnoteReference w:id="60"/>
      </w:r>
      <w:r w:rsidRPr="0005669D">
        <w:t xml:space="preserve"> </w:t>
      </w:r>
      <w:r>
        <w:t>Policies that favour men and discriminatory cultural practices create i</w:t>
      </w:r>
      <w:r w:rsidRPr="0005669D">
        <w:t>nequality in access to and control over resources</w:t>
      </w:r>
      <w:r>
        <w:t xml:space="preserve"> </w:t>
      </w:r>
      <w:r w:rsidRPr="0005669D">
        <w:t xml:space="preserve">making </w:t>
      </w:r>
      <w:r>
        <w:t xml:space="preserve">women </w:t>
      </w:r>
      <w:r w:rsidRPr="0005669D">
        <w:t>vulnerable. Unequal land rights in Ghana, particularly in agriculture</w:t>
      </w:r>
      <w:r>
        <w:t>,</w:t>
      </w:r>
      <w:r w:rsidRPr="0005669D">
        <w:rPr>
          <w:vertAlign w:val="superscript"/>
        </w:rPr>
        <w:footnoteReference w:id="61"/>
      </w:r>
      <w:r w:rsidRPr="0005669D">
        <w:t xml:space="preserve"> hinder economic, social and political status, as the patriarchal system allows </w:t>
      </w:r>
      <w:r>
        <w:t xml:space="preserve">only </w:t>
      </w:r>
      <w:r w:rsidRPr="0005669D">
        <w:t>men to control land, preventing women from free access</w:t>
      </w:r>
      <w:r>
        <w:t xml:space="preserve"> to land</w:t>
      </w:r>
      <w:r w:rsidRPr="0005669D">
        <w:t>.</w:t>
      </w:r>
      <w:r w:rsidRPr="0005669D">
        <w:rPr>
          <w:vertAlign w:val="superscript"/>
        </w:rPr>
        <w:footnoteReference w:id="62"/>
      </w:r>
      <w:r w:rsidRPr="0005669D">
        <w:t xml:space="preserve"> Climate change has reduced the availability of essential biomass resources for energy and livelihoods, affecting</w:t>
      </w:r>
      <w:r>
        <w:t xml:space="preserve"> </w:t>
      </w:r>
      <w:r w:rsidRPr="0005669D">
        <w:t>opportunit</w:t>
      </w:r>
      <w:r>
        <w:t>ies</w:t>
      </w:r>
      <w:r w:rsidRPr="0005669D">
        <w:t xml:space="preserve"> to obtain these resources.</w:t>
      </w:r>
      <w:r w:rsidRPr="0005669D">
        <w:rPr>
          <w:vertAlign w:val="superscript"/>
        </w:rPr>
        <w:footnoteReference w:id="63"/>
      </w:r>
      <w:r w:rsidRPr="0005669D">
        <w:t xml:space="preserve"> </w:t>
      </w:r>
      <w:r>
        <w:t>Climate change threatens m</w:t>
      </w:r>
      <w:r w:rsidRPr="0005669D">
        <w:t>aterial welfare, security,</w:t>
      </w:r>
      <w:r>
        <w:t xml:space="preserve"> </w:t>
      </w:r>
      <w:r w:rsidRPr="0005669D">
        <w:t>social relations</w:t>
      </w:r>
      <w:r>
        <w:t xml:space="preserve"> </w:t>
      </w:r>
      <w:r w:rsidRPr="0005669D">
        <w:t>and freedom of choice</w:t>
      </w:r>
      <w:r>
        <w:t>.</w:t>
      </w:r>
      <w:r w:rsidRPr="0005669D">
        <w:rPr>
          <w:vertAlign w:val="superscript"/>
        </w:rPr>
        <w:footnoteReference w:id="64"/>
      </w:r>
      <w:r w:rsidRPr="0005669D">
        <w:t xml:space="preserve"> It increases floods and droughts, affecting women and girls in rural areas.</w:t>
      </w:r>
      <w:r w:rsidRPr="0005669D">
        <w:rPr>
          <w:vertAlign w:val="superscript"/>
        </w:rPr>
        <w:footnoteReference w:id="65"/>
      </w:r>
      <w:r w:rsidRPr="0005669D">
        <w:t xml:space="preserve"> Climate </w:t>
      </w:r>
      <w:r w:rsidRPr="0005669D">
        <w:lastRenderedPageBreak/>
        <w:t>change also increases morbidity and mortality due to heatwaves, floods and diseases, worsening women</w:t>
      </w:r>
      <w:r>
        <w:t>’</w:t>
      </w:r>
      <w:r w:rsidRPr="0005669D">
        <w:t>s caregiving and human rights issues.</w:t>
      </w:r>
      <w:r w:rsidRPr="0005669D">
        <w:rPr>
          <w:vertAlign w:val="superscript"/>
        </w:rPr>
        <w:footnoteReference w:id="66"/>
      </w:r>
    </w:p>
    <w:p w14:paraId="6955076B" w14:textId="77777777" w:rsidR="00537326" w:rsidRPr="0005669D" w:rsidRDefault="00537326" w:rsidP="00537326">
      <w:pPr>
        <w:pStyle w:val="Heading3"/>
      </w:pPr>
      <w:r w:rsidRPr="0005669D">
        <w:t xml:space="preserve">Prejudice of </w:t>
      </w:r>
      <w:r>
        <w:t>W</w:t>
      </w:r>
      <w:r w:rsidRPr="0005669D">
        <w:t xml:space="preserve">omen in </w:t>
      </w:r>
      <w:r>
        <w:t>I</w:t>
      </w:r>
      <w:r w:rsidRPr="0005669D">
        <w:t xml:space="preserve">nformation </w:t>
      </w:r>
      <w:r>
        <w:t>T</w:t>
      </w:r>
      <w:r w:rsidRPr="0005669D">
        <w:t>echnology</w:t>
      </w:r>
    </w:p>
    <w:p w14:paraId="7E0A7FB0" w14:textId="77777777" w:rsidR="00537326" w:rsidRPr="00CA5845" w:rsidRDefault="00537326" w:rsidP="00537326">
      <w:pPr>
        <w:pStyle w:val="BodyText"/>
        <w:rPr>
          <w:szCs w:val="22"/>
        </w:rPr>
      </w:pPr>
      <w:r w:rsidRPr="0005669D">
        <w:t>Policies on Information and Communicati</w:t>
      </w:r>
      <w:r w:rsidRPr="00CA5845">
        <w:rPr>
          <w:szCs w:val="22"/>
        </w:rPr>
        <w:t>on Technology (ICT) have not addressed gender-based access disparity, with fewer women participating due to patriarchal societal structures and sociocultural orientations.</w:t>
      </w:r>
      <w:r w:rsidRPr="00CA5845">
        <w:rPr>
          <w:szCs w:val="22"/>
          <w:vertAlign w:val="superscript"/>
        </w:rPr>
        <w:footnoteReference w:id="67"/>
      </w:r>
      <w:r w:rsidRPr="00CA5845">
        <w:rPr>
          <w:szCs w:val="22"/>
        </w:rPr>
        <w:t xml:space="preserve"> Twenty-nine per cent of women in Ghana have access to the internet, highlighting the gender disparity in the ICT sector and digital jobs, which extends beyond the gig economy.</w:t>
      </w:r>
      <w:r w:rsidRPr="00CA5845">
        <w:rPr>
          <w:rStyle w:val="FootnoteReference"/>
          <w:szCs w:val="22"/>
        </w:rPr>
        <w:footnoteReference w:id="68"/>
      </w:r>
      <w:r w:rsidRPr="00CA5845">
        <w:rPr>
          <w:szCs w:val="22"/>
        </w:rPr>
        <w:t xml:space="preserve"> Cost remains a significant barrier to mobile phone ownership and internet usage among women in low- or middle-income countries, compared to men. To tackle gender inequities, it is crucial to measure the gendered gaps in ICT access and use that to favour the female.</w:t>
      </w:r>
      <w:r w:rsidRPr="00CA5845">
        <w:rPr>
          <w:szCs w:val="22"/>
          <w:vertAlign w:val="superscript"/>
        </w:rPr>
        <w:footnoteReference w:id="69"/>
      </w:r>
      <w:r w:rsidRPr="00CA5845">
        <w:rPr>
          <w:szCs w:val="22"/>
        </w:rPr>
        <w:t xml:space="preserve"> International bodies like the International Telecommunication Union urge Ghana to address the growing gender gap in information technology, promote equal education and digital technology empowerment, and create safe digital environments for all.</w:t>
      </w:r>
      <w:r w:rsidRPr="00CA5845">
        <w:rPr>
          <w:szCs w:val="22"/>
          <w:vertAlign w:val="superscript"/>
        </w:rPr>
        <w:footnoteReference w:id="70"/>
      </w:r>
    </w:p>
    <w:p w14:paraId="73D191BF" w14:textId="77777777" w:rsidR="00537326" w:rsidRPr="00205B62" w:rsidRDefault="00537326" w:rsidP="00537326">
      <w:pPr>
        <w:pStyle w:val="Heading3"/>
      </w:pPr>
      <w:r w:rsidRPr="00205B62">
        <w:t xml:space="preserve">Women in the </w:t>
      </w:r>
      <w:r>
        <w:t>E</w:t>
      </w:r>
      <w:r w:rsidRPr="00205B62">
        <w:t xml:space="preserve">conomics </w:t>
      </w:r>
      <w:r>
        <w:t>S</w:t>
      </w:r>
      <w:r w:rsidRPr="00205B62">
        <w:t xml:space="preserve">ector </w:t>
      </w:r>
    </w:p>
    <w:p w14:paraId="49D154AE" w14:textId="77777777" w:rsidR="00537326" w:rsidRPr="0005669D" w:rsidRDefault="00537326" w:rsidP="00537326">
      <w:pPr>
        <w:pStyle w:val="BodyText"/>
      </w:pPr>
      <w:r w:rsidRPr="0005669D">
        <w:t>Poverty is prevalent in Ghana, with women being the most affected.</w:t>
      </w:r>
      <w:r w:rsidRPr="0005669D">
        <w:rPr>
          <w:vertAlign w:val="superscript"/>
        </w:rPr>
        <w:footnoteReference w:id="71"/>
      </w:r>
      <w:r w:rsidRPr="0005669D">
        <w:t xml:space="preserve"> Despite the Constitution</w:t>
      </w:r>
      <w:r>
        <w:t>’</w:t>
      </w:r>
      <w:r w:rsidRPr="0005669D">
        <w:t xml:space="preserve">s support for </w:t>
      </w:r>
      <w:r>
        <w:t>female</w:t>
      </w:r>
      <w:r w:rsidRPr="0005669D">
        <w:t xml:space="preserve"> economic participation, few laws mandate their inclusion in key decision-making positions,</w:t>
      </w:r>
      <w:r w:rsidRPr="0005669D">
        <w:rPr>
          <w:vertAlign w:val="superscript"/>
        </w:rPr>
        <w:footnoteReference w:id="72"/>
      </w:r>
      <w:r>
        <w:t xml:space="preserve"> </w:t>
      </w:r>
      <w:r w:rsidRPr="0005669D">
        <w:t>focusing on equal economic opportunity.</w:t>
      </w:r>
      <w:r w:rsidRPr="0005669D">
        <w:rPr>
          <w:vertAlign w:val="superscript"/>
        </w:rPr>
        <w:footnoteReference w:id="73"/>
      </w:r>
      <w:r w:rsidRPr="0005669D">
        <w:t xml:space="preserve"> The </w:t>
      </w:r>
      <w:r>
        <w:t>C</w:t>
      </w:r>
      <w:r w:rsidRPr="0005669D">
        <w:t>onstitutional mandate for economic participation in Ghana has not been implemented</w:t>
      </w:r>
      <w:r>
        <w:t xml:space="preserve"> effectively</w:t>
      </w:r>
      <w:r w:rsidRPr="0005669D">
        <w:t>, with legislative trends focusing on inclusion in governance and regulatory bodies yet, yielding minimal results.</w:t>
      </w:r>
      <w:r w:rsidRPr="0005669D">
        <w:rPr>
          <w:vertAlign w:val="superscript"/>
        </w:rPr>
        <w:footnoteReference w:id="74"/>
      </w:r>
      <w:r>
        <w:t xml:space="preserve"> </w:t>
      </w:r>
      <w:r w:rsidRPr="0005669D">
        <w:t xml:space="preserve">The male-dominated </w:t>
      </w:r>
      <w:r>
        <w:t>p</w:t>
      </w:r>
      <w:r w:rsidRPr="0005669D">
        <w:t xml:space="preserve">arliament </w:t>
      </w:r>
      <w:r>
        <w:t xml:space="preserve">of Ghana </w:t>
      </w:r>
      <w:r w:rsidRPr="0005669D">
        <w:t>has hindered the attainment of women</w:t>
      </w:r>
      <w:r>
        <w:t>’</w:t>
      </w:r>
      <w:r w:rsidRPr="0005669D">
        <w:t>s rights</w:t>
      </w:r>
      <w:r w:rsidRPr="0005669D">
        <w:rPr>
          <w:vertAlign w:val="superscript"/>
        </w:rPr>
        <w:footnoteReference w:id="75"/>
      </w:r>
      <w:r w:rsidRPr="0005669D">
        <w:t xml:space="preserve"> by condoning gender </w:t>
      </w:r>
      <w:r w:rsidRPr="0005669D">
        <w:lastRenderedPageBreak/>
        <w:t>hierarchies,</w:t>
      </w:r>
      <w:r w:rsidRPr="0005669D">
        <w:rPr>
          <w:vertAlign w:val="superscript"/>
        </w:rPr>
        <w:footnoteReference w:id="76"/>
      </w:r>
      <w:r>
        <w:t xml:space="preserve"> which is </w:t>
      </w:r>
      <w:r w:rsidRPr="0005669D">
        <w:t xml:space="preserve">detrimental to safeguarding women’s rights. The UN ensures equal rights for men and women in economic, social, cultural, civil and political aspects, as mandated by </w:t>
      </w:r>
      <w:r>
        <w:t xml:space="preserve">the </w:t>
      </w:r>
      <w:r w:rsidRPr="006C675E">
        <w:t>Convention on the Elimination of Discrimination in the Workplace</w:t>
      </w:r>
      <w:r>
        <w:t xml:space="preserve"> (</w:t>
      </w:r>
      <w:r w:rsidRPr="0005669D">
        <w:t>CEDAW</w:t>
      </w:r>
      <w:r>
        <w:t>)</w:t>
      </w:r>
      <w:r w:rsidRPr="0005669D">
        <w:t>, which includes eliminating discrimination against women in family benefits, financial credit and recreational activities.</w:t>
      </w:r>
      <w:r w:rsidRPr="0005669D">
        <w:rPr>
          <w:vertAlign w:val="superscript"/>
        </w:rPr>
        <w:footnoteReference w:id="77"/>
      </w:r>
      <w:r w:rsidRPr="0005669D">
        <w:t xml:space="preserve"> Ghana needs a comprehensive </w:t>
      </w:r>
      <w:r>
        <w:t>p</w:t>
      </w:r>
      <w:r w:rsidRPr="0005669D">
        <w:t>arliamentary Act to protect women</w:t>
      </w:r>
      <w:r>
        <w:t>’</w:t>
      </w:r>
      <w:r w:rsidRPr="0005669D">
        <w:t xml:space="preserve">s economic rights, especially </w:t>
      </w:r>
      <w:r>
        <w:t xml:space="preserve">those </w:t>
      </w:r>
      <w:r w:rsidRPr="0005669D">
        <w:t>in rural areas, in line with the</w:t>
      </w:r>
      <w:bookmarkStart w:id="29" w:name="_Hlk173984023"/>
      <w:r>
        <w:t xml:space="preserve"> CEDAW</w:t>
      </w:r>
      <w:r w:rsidRPr="0005669D">
        <w:t>,</w:t>
      </w:r>
      <w:bookmarkEnd w:id="29"/>
      <w:r w:rsidRPr="0005669D">
        <w:t xml:space="preserve"> and ensure their full economic participation.</w:t>
      </w:r>
      <w:r w:rsidRPr="0005669D">
        <w:rPr>
          <w:vertAlign w:val="superscript"/>
        </w:rPr>
        <w:footnoteReference w:id="78"/>
      </w:r>
      <w:r w:rsidRPr="0005669D">
        <w:t xml:space="preserve"> </w:t>
      </w:r>
      <w:r>
        <w:t>S</w:t>
      </w:r>
      <w:r w:rsidRPr="0005669D">
        <w:t xml:space="preserve">elf-help groups and co-operatives </w:t>
      </w:r>
      <w:r>
        <w:t xml:space="preserve">are </w:t>
      </w:r>
      <w:r w:rsidRPr="0005669D">
        <w:t xml:space="preserve">crucial for women to access economic opportunities </w:t>
      </w:r>
      <w:r>
        <w:t xml:space="preserve">equally </w:t>
      </w:r>
      <w:r w:rsidRPr="0005669D">
        <w:t>through employment or self-employment.</w:t>
      </w:r>
      <w:r w:rsidRPr="0005669D">
        <w:rPr>
          <w:vertAlign w:val="superscript"/>
        </w:rPr>
        <w:footnoteReference w:id="79"/>
      </w:r>
      <w:r w:rsidRPr="0005669D">
        <w:t xml:space="preserve"> </w:t>
      </w:r>
    </w:p>
    <w:p w14:paraId="7EAA80A2" w14:textId="77777777" w:rsidR="00537326" w:rsidRDefault="00537326" w:rsidP="00537326">
      <w:pPr>
        <w:pStyle w:val="Heading2"/>
      </w:pPr>
      <w:r w:rsidRPr="0005669D">
        <w:t>The Maputo Protocol</w:t>
      </w:r>
    </w:p>
    <w:p w14:paraId="6E15B67E" w14:textId="77777777" w:rsidR="00537326" w:rsidRPr="00CA5845" w:rsidRDefault="00537326" w:rsidP="00537326">
      <w:pPr>
        <w:pStyle w:val="BodyText"/>
        <w:rPr>
          <w:szCs w:val="22"/>
          <w:lang w:val="en-US"/>
        </w:rPr>
      </w:pPr>
      <w:r w:rsidRPr="006D3D36">
        <w:rPr>
          <w:lang w:val="en-US"/>
        </w:rPr>
        <w:t>The African Union’</w:t>
      </w:r>
      <w:r w:rsidRPr="00CA5845">
        <w:rPr>
          <w:szCs w:val="22"/>
          <w:lang w:val="en-US"/>
        </w:rPr>
        <w:t>s commitment to ensure the implementation of policies to eradicate gender-based violence led to the adoption of the Protocol to the African Charter on Human and Peoples’ Rights on the Rights of Women in Africa in July 2003 in Maputo Mozambique</w:t>
      </w:r>
      <w:r w:rsidRPr="00CA5845">
        <w:rPr>
          <w:rStyle w:val="FootnoteReference"/>
          <w:szCs w:val="22"/>
          <w:lang w:val="en-US"/>
        </w:rPr>
        <w:footnoteReference w:id="80"/>
      </w:r>
      <w:r w:rsidRPr="00CA5845">
        <w:rPr>
          <w:szCs w:val="22"/>
          <w:lang w:val="en-US"/>
        </w:rPr>
        <w:t xml:space="preserve"> and a solemn declaration.</w:t>
      </w:r>
      <w:r w:rsidRPr="00CA5845">
        <w:rPr>
          <w:rStyle w:val="FootnoteReference"/>
          <w:szCs w:val="22"/>
          <w:lang w:val="en-US"/>
        </w:rPr>
        <w:footnoteReference w:id="81"/>
      </w:r>
      <w:r w:rsidRPr="00CA5845">
        <w:rPr>
          <w:szCs w:val="22"/>
          <w:lang w:val="en-US"/>
        </w:rPr>
        <w:t xml:space="preserve"> The AU’s gender policy aims to monitor the implementation of the Protocol through member states’ submission of periodic reports</w:t>
      </w:r>
      <w:r>
        <w:rPr>
          <w:szCs w:val="22"/>
          <w:lang w:val="en-US"/>
        </w:rPr>
        <w:t>,</w:t>
      </w:r>
      <w:r w:rsidRPr="00CA5845">
        <w:rPr>
          <w:szCs w:val="22"/>
          <w:lang w:val="en-US"/>
        </w:rPr>
        <w:t xml:space="preserve"> </w:t>
      </w:r>
      <w:r>
        <w:rPr>
          <w:szCs w:val="22"/>
          <w:lang w:val="en-US"/>
        </w:rPr>
        <w:t xml:space="preserve">in line with </w:t>
      </w:r>
      <w:r w:rsidRPr="00CA5845">
        <w:rPr>
          <w:szCs w:val="22"/>
          <w:lang w:val="en-US"/>
        </w:rPr>
        <w:t>the African Charter, with the African Court of Human and Peoples’ Rights being responsible for matters of interpretation arising from the application or implementation of the Protocol.</w:t>
      </w:r>
      <w:r w:rsidRPr="00CA5845">
        <w:rPr>
          <w:rStyle w:val="FootnoteReference"/>
          <w:szCs w:val="22"/>
          <w:lang w:val="en-US"/>
        </w:rPr>
        <w:footnoteReference w:id="82"/>
      </w:r>
      <w:r w:rsidRPr="00CA5845">
        <w:rPr>
          <w:szCs w:val="22"/>
          <w:lang w:val="en-US"/>
        </w:rPr>
        <w:t xml:space="preserve"> As of January 2023, Ghana has ten outstanding state reports and has yet to report on the Maputo Protocol since its ratification.</w:t>
      </w:r>
      <w:r w:rsidRPr="00CA5845">
        <w:rPr>
          <w:rStyle w:val="FootnoteReference"/>
          <w:szCs w:val="22"/>
          <w:lang w:val="en-US"/>
        </w:rPr>
        <w:footnoteReference w:id="83"/>
      </w:r>
      <w:r w:rsidRPr="00CA5845">
        <w:rPr>
          <w:szCs w:val="22"/>
        </w:rPr>
        <w:t xml:space="preserve"> </w:t>
      </w:r>
      <w:r w:rsidRPr="00CA5845">
        <w:rPr>
          <w:szCs w:val="22"/>
          <w:lang w:val="en-US"/>
        </w:rPr>
        <w:t>Ghana’s delayed state reports to the Banjul Commission and its failure to report on the Maputo Protocol despite ratification necessitates stringent grounds for implementation and the need to domesticate the Protocol for enforcement.</w:t>
      </w:r>
    </w:p>
    <w:p w14:paraId="5206F27D" w14:textId="77777777" w:rsidR="00537326" w:rsidRPr="00CA5845" w:rsidRDefault="00537326" w:rsidP="00537326">
      <w:pPr>
        <w:pStyle w:val="BodyText"/>
        <w:rPr>
          <w:szCs w:val="22"/>
        </w:rPr>
      </w:pPr>
      <w:r w:rsidRPr="00CA5845">
        <w:rPr>
          <w:szCs w:val="22"/>
        </w:rPr>
        <w:t>Researchers have expressed dissatisfaction with Ghana’s lackadaisical approach to domesticating international instruments, citing its dualist nature in international law as a matter of pronouncement rather than practice.</w:t>
      </w:r>
      <w:r w:rsidRPr="00CA5845">
        <w:rPr>
          <w:rStyle w:val="FootnoteReference"/>
          <w:szCs w:val="22"/>
        </w:rPr>
        <w:footnoteReference w:id="84"/>
      </w:r>
      <w:r w:rsidRPr="00CA5845">
        <w:rPr>
          <w:szCs w:val="22"/>
        </w:rPr>
        <w:t xml:space="preserve"> The sam</w:t>
      </w:r>
      <w:r w:rsidRPr="0005669D">
        <w:t xml:space="preserve">e can be said about the </w:t>
      </w:r>
      <w:r w:rsidRPr="0005669D">
        <w:lastRenderedPageBreak/>
        <w:t>Maputo P</w:t>
      </w:r>
      <w:r w:rsidRPr="00CA5845">
        <w:rPr>
          <w:szCs w:val="22"/>
        </w:rPr>
        <w:t>rotocol,</w:t>
      </w:r>
      <w:r w:rsidRPr="00CA5845">
        <w:rPr>
          <w:szCs w:val="22"/>
          <w:vertAlign w:val="superscript"/>
        </w:rPr>
        <w:footnoteReference w:id="85"/>
      </w:r>
      <w:r w:rsidRPr="00CA5845">
        <w:rPr>
          <w:szCs w:val="22"/>
        </w:rPr>
        <w:t xml:space="preserve"> which Ghana has ratified but has not domesticated by a parliamentary enactment</w:t>
      </w:r>
      <w:r>
        <w:rPr>
          <w:szCs w:val="22"/>
        </w:rPr>
        <w:t xml:space="preserve">, </w:t>
      </w:r>
      <w:r w:rsidRPr="00CA5845">
        <w:rPr>
          <w:szCs w:val="22"/>
        </w:rPr>
        <w:t>a position different from states with self-executing treaty policies outrightly imposing international obligations and creating rights enforceable in the domestic courts’ post-ratification.</w:t>
      </w:r>
      <w:r w:rsidRPr="00CA5845">
        <w:rPr>
          <w:rStyle w:val="FootnoteReference"/>
          <w:szCs w:val="22"/>
        </w:rPr>
        <w:footnoteReference w:id="86"/>
      </w:r>
      <w:r w:rsidRPr="00CA5845">
        <w:rPr>
          <w:szCs w:val="22"/>
        </w:rPr>
        <w:t xml:space="preserve"> Article 75 allows the president to execute treaties, agreements or conventions in Ghana’s name</w:t>
      </w:r>
      <w:r>
        <w:rPr>
          <w:szCs w:val="22"/>
        </w:rPr>
        <w:t>, but these are</w:t>
      </w:r>
      <w:r w:rsidRPr="00CA5845">
        <w:rPr>
          <w:szCs w:val="22"/>
        </w:rPr>
        <w:t xml:space="preserve"> ratified by parliament through a majority vote.</w:t>
      </w:r>
      <w:r w:rsidRPr="00CA5845">
        <w:rPr>
          <w:szCs w:val="22"/>
          <w:vertAlign w:val="superscript"/>
        </w:rPr>
        <w:footnoteReference w:id="87"/>
      </w:r>
      <w:r w:rsidRPr="00CA5845">
        <w:rPr>
          <w:szCs w:val="22"/>
        </w:rPr>
        <w:t xml:space="preserve"> Although internationally binding post-ratification, specific treaties are only enforced domestically through parliamentary enactment.</w:t>
      </w:r>
      <w:r w:rsidRPr="00CA5845">
        <w:rPr>
          <w:szCs w:val="22"/>
          <w:vertAlign w:val="superscript"/>
        </w:rPr>
        <w:footnoteReference w:id="88"/>
      </w:r>
      <w:r w:rsidRPr="00CA5845">
        <w:rPr>
          <w:szCs w:val="22"/>
        </w:rPr>
        <w:t xml:space="preserve"> </w:t>
      </w:r>
    </w:p>
    <w:p w14:paraId="6F9182D8" w14:textId="77777777" w:rsidR="00537326" w:rsidRPr="00CA5845" w:rsidRDefault="00537326" w:rsidP="00537326">
      <w:pPr>
        <w:pStyle w:val="BodyText"/>
        <w:rPr>
          <w:szCs w:val="22"/>
        </w:rPr>
      </w:pPr>
      <w:r w:rsidRPr="00CA5845">
        <w:rPr>
          <w:szCs w:val="22"/>
        </w:rPr>
        <w:t>The Directive Principles of State Policy further provides that a state is extensively guided by international human rights instruments in recognising, applying and enforcing human rights principles</w:t>
      </w:r>
      <w:r w:rsidRPr="00CA5845">
        <w:rPr>
          <w:rStyle w:val="FootnoteReference"/>
          <w:szCs w:val="22"/>
        </w:rPr>
        <w:footnoteReference w:id="89"/>
      </w:r>
      <w:r w:rsidRPr="00CA5845">
        <w:rPr>
          <w:szCs w:val="22"/>
        </w:rPr>
        <w:t xml:space="preserve"> to prohibit discrimination and prejudice.</w:t>
      </w:r>
      <w:r w:rsidRPr="00CA5845">
        <w:rPr>
          <w:rStyle w:val="FootnoteReference"/>
          <w:szCs w:val="22"/>
        </w:rPr>
        <w:footnoteReference w:id="90"/>
      </w:r>
      <w:r w:rsidRPr="00CA5845">
        <w:rPr>
          <w:szCs w:val="22"/>
        </w:rPr>
        <w:t xml:space="preserve"> This has been progressively demonstrated in the decisions of domestic courts to mean that the principles of a treaty may be enforceable if Ghana is a signatory although </w:t>
      </w:r>
      <w:r>
        <w:rPr>
          <w:szCs w:val="22"/>
        </w:rPr>
        <w:t xml:space="preserve">these have </w:t>
      </w:r>
      <w:r w:rsidRPr="00CA5845">
        <w:rPr>
          <w:szCs w:val="22"/>
        </w:rPr>
        <w:t xml:space="preserve">not </w:t>
      </w:r>
      <w:r>
        <w:rPr>
          <w:szCs w:val="22"/>
        </w:rPr>
        <w:t xml:space="preserve">been </w:t>
      </w:r>
      <w:r w:rsidRPr="00CA5845">
        <w:rPr>
          <w:szCs w:val="22"/>
        </w:rPr>
        <w:t>incorporated into domestic laws.</w:t>
      </w:r>
      <w:r w:rsidRPr="00CA5845">
        <w:rPr>
          <w:rStyle w:val="FootnoteReference"/>
          <w:szCs w:val="22"/>
        </w:rPr>
        <w:footnoteReference w:id="91"/>
      </w:r>
      <w:r w:rsidRPr="00CA5845">
        <w:rPr>
          <w:szCs w:val="22"/>
        </w:rPr>
        <w:t xml:space="preserve"> Thus, the Supreme Court has stated, in the case of Ghana </w:t>
      </w:r>
      <w:r w:rsidRPr="00CA5845">
        <w:rPr>
          <w:i/>
          <w:iCs/>
          <w:szCs w:val="22"/>
        </w:rPr>
        <w:t>Lotto Operators Association and Others v National Lottery Authority</w:t>
      </w:r>
      <w:r w:rsidRPr="00CA5845">
        <w:rPr>
          <w:szCs w:val="22"/>
        </w:rPr>
        <w:t>, that the non-exclusion clause in art</w:t>
      </w:r>
      <w:r>
        <w:rPr>
          <w:szCs w:val="22"/>
        </w:rPr>
        <w:t>icle</w:t>
      </w:r>
      <w:r w:rsidRPr="00CA5845">
        <w:rPr>
          <w:szCs w:val="22"/>
        </w:rPr>
        <w:t xml:space="preserve"> 33(5) of the Constitution allows international human rights instruments to be used where they are not explicitly guaranteed.</w:t>
      </w:r>
      <w:r w:rsidRPr="00CA5845">
        <w:rPr>
          <w:rStyle w:val="FootnoteReference"/>
          <w:szCs w:val="22"/>
        </w:rPr>
        <w:footnoteReference w:id="92"/>
      </w:r>
      <w:r w:rsidRPr="00CA5845">
        <w:rPr>
          <w:szCs w:val="22"/>
        </w:rPr>
        <w:t xml:space="preserve"> </w:t>
      </w:r>
    </w:p>
    <w:p w14:paraId="3C5585B7" w14:textId="77777777" w:rsidR="00537326" w:rsidRPr="00CA5845" w:rsidRDefault="00537326" w:rsidP="00537326">
      <w:pPr>
        <w:pStyle w:val="BodyText"/>
        <w:rPr>
          <w:szCs w:val="22"/>
        </w:rPr>
      </w:pPr>
      <w:r w:rsidRPr="00CA5845">
        <w:rPr>
          <w:szCs w:val="22"/>
        </w:rPr>
        <w:t>While the court’s interpretation of the Directive Principles of State Policy to include international policies, especially on human rights, is commendable, domesticating the Maputo Protocol is prudent as an enacted law leaves no room for the application of the state’s discretionary power in an abysmal manner.</w:t>
      </w:r>
      <w:r w:rsidRPr="00CA5845">
        <w:rPr>
          <w:rStyle w:val="FootnoteReference"/>
          <w:szCs w:val="22"/>
        </w:rPr>
        <w:footnoteReference w:id="93"/>
      </w:r>
      <w:r w:rsidRPr="00CA5845">
        <w:rPr>
          <w:szCs w:val="22"/>
        </w:rPr>
        <w:t xml:space="preserve"> An enactment outlines state obligations for enforcing and implementing women’s rights, allowing for a transparent and robust accountability framework to hold the state responsible for championing women’s rights.</w:t>
      </w:r>
      <w:r w:rsidRPr="00CA5845">
        <w:rPr>
          <w:rStyle w:val="FootnoteReference"/>
          <w:szCs w:val="22"/>
        </w:rPr>
        <w:footnoteReference w:id="94"/>
      </w:r>
      <w:r w:rsidRPr="00CA5845">
        <w:rPr>
          <w:szCs w:val="22"/>
        </w:rPr>
        <w:t xml:space="preserve"> A determination to unreluctantly enforce the rights of women must transcend an envisaged discretionary implication that </w:t>
      </w:r>
      <w:r>
        <w:rPr>
          <w:szCs w:val="22"/>
        </w:rPr>
        <w:t>articles</w:t>
      </w:r>
      <w:r w:rsidRPr="00CA5845">
        <w:rPr>
          <w:szCs w:val="22"/>
        </w:rPr>
        <w:t xml:space="preserve"> 33(5</w:t>
      </w:r>
      <w:r w:rsidRPr="0005669D">
        <w:t xml:space="preserve">), 37(3) </w:t>
      </w:r>
      <w:r>
        <w:t xml:space="preserve">and </w:t>
      </w:r>
      <w:r w:rsidRPr="0005669D">
        <w:t xml:space="preserve">40 in </w:t>
      </w:r>
      <w:r w:rsidRPr="0005669D">
        <w:lastRenderedPageBreak/>
        <w:t xml:space="preserve">tandem with </w:t>
      </w:r>
      <w:r>
        <w:t>a</w:t>
      </w:r>
      <w:r w:rsidRPr="0005669D">
        <w:t xml:space="preserve">rticle 75 may enforce the Maputo </w:t>
      </w:r>
      <w:r>
        <w:t>P</w:t>
      </w:r>
      <w:r w:rsidRPr="0005669D">
        <w:t>rotocol to uphold the Directive Principles of the State t</w:t>
      </w:r>
      <w:r w:rsidRPr="00CA5845">
        <w:rPr>
          <w:szCs w:val="22"/>
        </w:rPr>
        <w:t>o prohibit discrimination and prejudice against women.</w:t>
      </w:r>
      <w:r w:rsidRPr="00CA5845">
        <w:rPr>
          <w:rStyle w:val="FootnoteReference"/>
          <w:szCs w:val="22"/>
        </w:rPr>
        <w:footnoteReference w:id="95"/>
      </w:r>
      <w:r w:rsidRPr="00CA5845">
        <w:rPr>
          <w:szCs w:val="22"/>
        </w:rPr>
        <w:t xml:space="preserve"> Treaties on human rights should not be at the mercy of an imaginative interpretation of the Directive Principles of State Policy</w:t>
      </w:r>
      <w:r w:rsidRPr="00CA5845">
        <w:rPr>
          <w:rStyle w:val="FootnoteReference"/>
          <w:szCs w:val="22"/>
        </w:rPr>
        <w:footnoteReference w:id="96"/>
      </w:r>
      <w:r w:rsidRPr="00CA5845">
        <w:rPr>
          <w:szCs w:val="22"/>
        </w:rPr>
        <w:t xml:space="preserve"> as the Supreme Court is not </w:t>
      </w:r>
      <w:bookmarkStart w:id="34" w:name="_Hlk164602120"/>
      <w:r w:rsidRPr="00CA5845">
        <w:rPr>
          <w:szCs w:val="22"/>
        </w:rPr>
        <w:t>unanimous</w:t>
      </w:r>
      <w:bookmarkEnd w:id="34"/>
      <w:r w:rsidRPr="00CA5845">
        <w:rPr>
          <w:szCs w:val="22"/>
        </w:rPr>
        <w:t xml:space="preserve"> on the justiciability or otherwise of these policies.</w:t>
      </w:r>
      <w:r w:rsidRPr="00CA5845">
        <w:rPr>
          <w:rStyle w:val="FootnoteReference"/>
          <w:szCs w:val="22"/>
        </w:rPr>
        <w:footnoteReference w:id="97"/>
      </w:r>
      <w:r w:rsidRPr="00CA5845">
        <w:rPr>
          <w:szCs w:val="22"/>
        </w:rPr>
        <w:t xml:space="preserve"> To ensure a binding effect of women’s rights, Ghana needs to domesticate human rights treaties. A consolidated legal document, such as the Maputo Protocol, will further uphold the rights to deter discrimination against women in politics, governance, education, climate change, digital space and economics</w:t>
      </w:r>
      <w:r>
        <w:rPr>
          <w:szCs w:val="22"/>
        </w:rPr>
        <w:t>,</w:t>
      </w:r>
      <w:r w:rsidRPr="00CA5845">
        <w:rPr>
          <w:szCs w:val="22"/>
        </w:rPr>
        <w:t xml:space="preserve"> amongst others. Adopting the Maputo Protocol can expedite the development of a bill on women’s rights, save time and cost, and eliminate the need for inventing wheels.</w:t>
      </w:r>
      <w:bookmarkStart w:id="35" w:name="_heading=h.3dy6vkm" w:colFirst="0" w:colLast="0"/>
      <w:bookmarkEnd w:id="35"/>
      <w:r w:rsidRPr="00CA5845">
        <w:rPr>
          <w:szCs w:val="22"/>
        </w:rPr>
        <w:t xml:space="preserve"> </w:t>
      </w:r>
    </w:p>
    <w:p w14:paraId="37F79107" w14:textId="77777777" w:rsidR="00537326" w:rsidRPr="00CA5845" w:rsidRDefault="00537326" w:rsidP="00537326">
      <w:pPr>
        <w:pStyle w:val="BodyText"/>
        <w:rPr>
          <w:szCs w:val="22"/>
        </w:rPr>
      </w:pPr>
      <w:r w:rsidRPr="00CA5845">
        <w:rPr>
          <w:szCs w:val="22"/>
        </w:rPr>
        <w:t>The Maputo Protocol aims to promote equal women’s political participation</w:t>
      </w:r>
      <w:r w:rsidRPr="00CA5845">
        <w:rPr>
          <w:szCs w:val="22"/>
          <w:vertAlign w:val="superscript"/>
        </w:rPr>
        <w:t xml:space="preserve"> </w:t>
      </w:r>
      <w:r w:rsidRPr="00CA5845">
        <w:rPr>
          <w:szCs w:val="22"/>
        </w:rPr>
        <w:t>in governance, addressing gender imbalance in Ghanaian politics.</w:t>
      </w:r>
      <w:r w:rsidRPr="00CA5845">
        <w:rPr>
          <w:szCs w:val="22"/>
          <w:vertAlign w:val="superscript"/>
        </w:rPr>
        <w:footnoteReference w:id="98"/>
      </w:r>
      <w:r w:rsidRPr="00CA5845">
        <w:rPr>
          <w:szCs w:val="22"/>
          <w:vertAlign w:val="superscript"/>
        </w:rPr>
        <w:t xml:space="preserve"> </w:t>
      </w:r>
      <w:r w:rsidRPr="00CA5845">
        <w:rPr>
          <w:szCs w:val="22"/>
        </w:rPr>
        <w:t>However, the country’s high gender ratio in key policy-making decisions</w:t>
      </w:r>
      <w:r w:rsidRPr="00CA5845">
        <w:rPr>
          <w:szCs w:val="22"/>
          <w:vertAlign w:val="superscript"/>
        </w:rPr>
        <w:footnoteReference w:id="99"/>
      </w:r>
      <w:r w:rsidRPr="00CA5845">
        <w:rPr>
          <w:szCs w:val="22"/>
        </w:rPr>
        <w:t xml:space="preserve"> still falls short of the UN-recommended minimum of thirty per cent.</w:t>
      </w:r>
      <w:r w:rsidRPr="00CA5845">
        <w:rPr>
          <w:szCs w:val="22"/>
          <w:vertAlign w:val="superscript"/>
        </w:rPr>
        <w:footnoteReference w:id="100"/>
      </w:r>
      <w:r w:rsidRPr="00CA5845">
        <w:rPr>
          <w:szCs w:val="22"/>
        </w:rPr>
        <w:t xml:space="preserve"> The underrepresentation of women in governance affects the implementation of women’s rights policies. Gender-sensitive laws are more likely to be passed in countries with a higher proportion of women in parliament. The presence of female lawmakers encourages male members to acknowledge that women’s issues are the purview of legislative institutions. Male legislators should not be responsible for enacting laws or making decisions affecting women without women’s input, as they may not understand the delicate nature of these matters.</w:t>
      </w:r>
      <w:r w:rsidRPr="00CA5845">
        <w:rPr>
          <w:rStyle w:val="FootnoteReference"/>
          <w:szCs w:val="22"/>
        </w:rPr>
        <w:footnoteReference w:id="101"/>
      </w:r>
      <w:r w:rsidRPr="00CA5845" w:rsidDel="00F81DC0">
        <w:rPr>
          <w:szCs w:val="22"/>
          <w:vertAlign w:val="superscript"/>
        </w:rPr>
        <w:t xml:space="preserve"> </w:t>
      </w:r>
      <w:r w:rsidRPr="00CA5845">
        <w:rPr>
          <w:szCs w:val="22"/>
        </w:rPr>
        <w:t xml:space="preserve"> Parliament has not passed an affirmative action bill advocating for increased women’s participation and this violates the provisions of the Maputo Protocol.</w:t>
      </w:r>
      <w:r w:rsidRPr="00CA5845">
        <w:rPr>
          <w:szCs w:val="22"/>
          <w:vertAlign w:val="superscript"/>
        </w:rPr>
        <w:footnoteReference w:id="102"/>
      </w:r>
      <w:r w:rsidRPr="00CA5845">
        <w:rPr>
          <w:szCs w:val="22"/>
        </w:rPr>
        <w:t xml:space="preserve"> </w:t>
      </w:r>
    </w:p>
    <w:p w14:paraId="2F838153" w14:textId="77777777" w:rsidR="00537326" w:rsidRPr="00CA5845" w:rsidRDefault="00537326" w:rsidP="00537326">
      <w:pPr>
        <w:pStyle w:val="BodyText"/>
        <w:rPr>
          <w:szCs w:val="22"/>
          <w:vertAlign w:val="superscript"/>
        </w:rPr>
      </w:pPr>
      <w:r w:rsidRPr="00CA5845">
        <w:rPr>
          <w:szCs w:val="22"/>
        </w:rPr>
        <w:t>The Maputo Protocol upholds education as a fundamental human right, promoting female education, eliminating discrimination, ensuring equal opportunities, protecting girls against sexual harassment and preventing girls from dropping out of school early.</w:t>
      </w:r>
      <w:r w:rsidRPr="00CA5845">
        <w:rPr>
          <w:szCs w:val="22"/>
          <w:vertAlign w:val="superscript"/>
        </w:rPr>
        <w:footnoteReference w:id="103"/>
      </w:r>
      <w:r w:rsidRPr="00CA5845">
        <w:rPr>
          <w:szCs w:val="22"/>
        </w:rPr>
        <w:t xml:space="preserve"> The Maputo Protocol emphasises women’s right to a healthy </w:t>
      </w:r>
      <w:r>
        <w:rPr>
          <w:szCs w:val="22"/>
        </w:rPr>
        <w:t xml:space="preserve">and </w:t>
      </w:r>
      <w:r w:rsidRPr="00CA5845">
        <w:rPr>
          <w:szCs w:val="22"/>
        </w:rPr>
        <w:t xml:space="preserve">sustainable environment, urging greater participation in environmental planning, renewable energy </w:t>
      </w:r>
      <w:r w:rsidRPr="00CA5845">
        <w:rPr>
          <w:szCs w:val="22"/>
        </w:rPr>
        <w:lastRenderedPageBreak/>
        <w:t>and indigenous knowledge systems.</w:t>
      </w:r>
      <w:r w:rsidRPr="00CA5845">
        <w:rPr>
          <w:szCs w:val="22"/>
          <w:vertAlign w:val="superscript"/>
        </w:rPr>
        <w:footnoteReference w:id="104"/>
      </w:r>
      <w:r w:rsidRPr="00CA5845">
        <w:rPr>
          <w:szCs w:val="22"/>
        </w:rPr>
        <w:t xml:space="preserve"> It also calls for state-</w:t>
      </w:r>
      <w:r w:rsidRPr="0005669D">
        <w:t>led research and investment in renewable energ</w:t>
      </w:r>
      <w:r w:rsidRPr="00CA5845">
        <w:rPr>
          <w:szCs w:val="22"/>
        </w:rPr>
        <w:t>y and appropriate technologies, as well as proper waste management and disposal standards.</w:t>
      </w:r>
      <w:r w:rsidRPr="00CA5845">
        <w:rPr>
          <w:szCs w:val="22"/>
          <w:vertAlign w:val="superscript"/>
        </w:rPr>
        <w:footnoteReference w:id="105"/>
      </w:r>
    </w:p>
    <w:p w14:paraId="63052770" w14:textId="77777777" w:rsidR="00537326" w:rsidRPr="00CA5845" w:rsidRDefault="00537326" w:rsidP="00537326">
      <w:pPr>
        <w:pStyle w:val="BodyText"/>
        <w:rPr>
          <w:szCs w:val="22"/>
        </w:rPr>
      </w:pPr>
      <w:r w:rsidRPr="00CA5845">
        <w:rPr>
          <w:szCs w:val="22"/>
        </w:rPr>
        <w:t>Domesticating the Protocol will provide for a legal regime to enforce gender parity in education, particularly in science and technology.</w:t>
      </w:r>
      <w:r w:rsidRPr="00CA5845">
        <w:rPr>
          <w:szCs w:val="22"/>
          <w:vertAlign w:val="superscript"/>
        </w:rPr>
        <w:footnoteReference w:id="106"/>
      </w:r>
      <w:r w:rsidRPr="00CA5845">
        <w:rPr>
          <w:szCs w:val="22"/>
        </w:rPr>
        <w:t xml:space="preserve"> Improving education in science and technology addresses issues like censorship by educating women on their digital rights within the remits of domestic and international law and surveillance by establishing frameworks to monitor educational institutions to advance and promote female education at all levels.</w:t>
      </w:r>
      <w:r w:rsidRPr="00CA5845">
        <w:rPr>
          <w:rStyle w:val="FootnoteReference"/>
          <w:szCs w:val="22"/>
        </w:rPr>
        <w:footnoteReference w:id="107"/>
      </w:r>
      <w:r w:rsidRPr="00CA5845">
        <w:rPr>
          <w:szCs w:val="22"/>
        </w:rPr>
        <w:t xml:space="preserve"> Improving female education in science and technology further eradicates privacy breaches and promotes online safety by disseminating information on cybersecurity issues.</w:t>
      </w:r>
      <w:r w:rsidRPr="00CA5845">
        <w:rPr>
          <w:szCs w:val="22"/>
          <w:vertAlign w:val="superscript"/>
        </w:rPr>
        <w:footnoteReference w:id="108"/>
      </w:r>
      <w:r w:rsidRPr="00CA5845">
        <w:rPr>
          <w:szCs w:val="22"/>
        </w:rPr>
        <w:t xml:space="preserve"> Information on safeguarding digital spaces and avoiding illicit online activities creates a safer space for women to engage in gender rights discourse online with more participation, express creativity, maintain connections and overcome geographical barriers. </w:t>
      </w:r>
    </w:p>
    <w:p w14:paraId="57C6EF2B" w14:textId="77777777" w:rsidR="00537326" w:rsidRDefault="00537326" w:rsidP="00537326">
      <w:pPr>
        <w:pStyle w:val="BodyText"/>
      </w:pPr>
      <w:r w:rsidRPr="00CA5845">
        <w:rPr>
          <w:szCs w:val="22"/>
        </w:rPr>
        <w:t>The Protocol upholds gender neutrality in the economic sector by promoting equal opportunities in work, career advancement and economic opportunities.</w:t>
      </w:r>
      <w:r w:rsidRPr="00CA5845">
        <w:rPr>
          <w:szCs w:val="22"/>
          <w:vertAlign w:val="superscript"/>
        </w:rPr>
        <w:footnoteReference w:id="109"/>
      </w:r>
      <w:r w:rsidRPr="00CA5845">
        <w:rPr>
          <w:szCs w:val="22"/>
        </w:rPr>
        <w:t xml:space="preserve"> However, the 2023 statistics show gender disparity in Ghanaian labour, with females at 65.3 per cent and males at 72.4 per cent.</w:t>
      </w:r>
      <w:r w:rsidRPr="00CA5845">
        <w:rPr>
          <w:rStyle w:val="FootnoteReference"/>
          <w:szCs w:val="22"/>
        </w:rPr>
        <w:footnoteReference w:id="110"/>
      </w:r>
      <w:r w:rsidRPr="00CA5845">
        <w:rPr>
          <w:szCs w:val="22"/>
        </w:rPr>
        <w:t xml:space="preserve"> This does not align with the Protocol’s mandate for equal work opportunities, highlighting the need for stricter enforcement measures.</w:t>
      </w:r>
      <w:r w:rsidRPr="00CA5845">
        <w:rPr>
          <w:szCs w:val="22"/>
          <w:vertAlign w:val="superscript"/>
        </w:rPr>
        <w:footnoteReference w:id="111"/>
      </w:r>
      <w:r w:rsidRPr="00CA5845">
        <w:rPr>
          <w:szCs w:val="22"/>
        </w:rPr>
        <w:t xml:space="preserve"> Employment disparities stem from women’s biological makeup, with employers favouring men because they perceive women as weak, and they want to avoid having to give childcare leave to women. Incorporating the Protocol to ensure that women’s rights are upheld is crucial for safer employment measures for women.</w:t>
      </w:r>
      <w:r w:rsidRPr="00CA5845">
        <w:rPr>
          <w:szCs w:val="22"/>
          <w:vertAlign w:val="superscript"/>
        </w:rPr>
        <w:footnoteReference w:id="112"/>
      </w:r>
      <w:r w:rsidRPr="00CA5845">
        <w:rPr>
          <w:szCs w:val="22"/>
        </w:rPr>
        <w:t xml:space="preserve"> The Protocol will further maintain transparency in women’s recruitment, promotion and dismissal, combating workplace sexual harassment</w:t>
      </w:r>
      <w:r w:rsidRPr="00CA5845">
        <w:rPr>
          <w:szCs w:val="22"/>
          <w:shd w:val="clear" w:color="auto" w:fill="FFFFFF"/>
        </w:rPr>
        <w:t xml:space="preserve"> </w:t>
      </w:r>
      <w:r w:rsidRPr="00CA5845">
        <w:rPr>
          <w:szCs w:val="22"/>
        </w:rPr>
        <w:t>and guarantee freedom of choice.</w:t>
      </w:r>
      <w:r w:rsidRPr="00CA5845">
        <w:rPr>
          <w:szCs w:val="22"/>
          <w:vertAlign w:val="superscript"/>
        </w:rPr>
        <w:footnoteReference w:id="113"/>
      </w:r>
      <w:r w:rsidRPr="00CA5845">
        <w:rPr>
          <w:szCs w:val="22"/>
          <w:shd w:val="clear" w:color="auto" w:fill="FFFFFF"/>
        </w:rPr>
        <w:t xml:space="preserve"> </w:t>
      </w:r>
      <w:r w:rsidRPr="00CA5845">
        <w:rPr>
          <w:szCs w:val="22"/>
        </w:rPr>
        <w:t>It complements women’s economic activities, particularly in the informal sector, through protection and social insurance systems.</w:t>
      </w:r>
      <w:r w:rsidRPr="00CA5845">
        <w:rPr>
          <w:szCs w:val="22"/>
          <w:vertAlign w:val="superscript"/>
        </w:rPr>
        <w:footnoteReference w:id="114"/>
      </w:r>
      <w:r w:rsidRPr="00CA5845">
        <w:rPr>
          <w:szCs w:val="22"/>
        </w:rPr>
        <w:t xml:space="preserve"> The Protocol calls for a minimum work age and the prohibition of child labour and child exploitation. It emphasises women’s </w:t>
      </w:r>
      <w:r w:rsidRPr="0005669D">
        <w:lastRenderedPageBreak/>
        <w:t>domestic work, paid maternity leave,</w:t>
      </w:r>
      <w:r>
        <w:t xml:space="preserve"> </w:t>
      </w:r>
      <w:r w:rsidRPr="0005669D">
        <w:t>equal taxation laws</w:t>
      </w:r>
      <w:r w:rsidRPr="0005669D">
        <w:rPr>
          <w:vertAlign w:val="superscript"/>
        </w:rPr>
        <w:footnoteReference w:id="115"/>
      </w:r>
      <w:r>
        <w:t xml:space="preserve"> and</w:t>
      </w:r>
      <w:r w:rsidRPr="0005669D">
        <w:t xml:space="preserve"> the responsibility of parents and the state for children</w:t>
      </w:r>
      <w:r>
        <w:t>’</w:t>
      </w:r>
      <w:r w:rsidRPr="0005669D">
        <w:t>s upbringing and development.</w:t>
      </w:r>
      <w:r w:rsidRPr="0005669D">
        <w:rPr>
          <w:vertAlign w:val="superscript"/>
        </w:rPr>
        <w:footnoteReference w:id="116"/>
      </w:r>
      <w:r w:rsidRPr="0005669D">
        <w:t xml:space="preserve"> </w:t>
      </w:r>
    </w:p>
    <w:p w14:paraId="05D22BA7" w14:textId="77777777" w:rsidR="00537326" w:rsidRDefault="00537326" w:rsidP="00537326">
      <w:pPr>
        <w:pStyle w:val="BodyText"/>
      </w:pPr>
      <w:r w:rsidRPr="0005669D">
        <w:t>The Constitution’s mandate for women to provide traditional care for children is ambiguous and has led to gender exploitation</w:t>
      </w:r>
      <w:r>
        <w:t>,</w:t>
      </w:r>
      <w:r w:rsidRPr="0005669D">
        <w:t xml:space="preserve"> to the detriment of women.</w:t>
      </w:r>
      <w:r w:rsidRPr="0005669D">
        <w:rPr>
          <w:vertAlign w:val="superscript"/>
        </w:rPr>
        <w:footnoteReference w:id="117"/>
      </w:r>
      <w:r>
        <w:t xml:space="preserve"> </w:t>
      </w:r>
      <w:r w:rsidRPr="0005669D">
        <w:t xml:space="preserve">The definition of </w:t>
      </w:r>
      <w:r>
        <w:t>‘</w:t>
      </w:r>
      <w:r w:rsidRPr="0005669D">
        <w:t>traditional caregivers</w:t>
      </w:r>
      <w:r>
        <w:t xml:space="preserve">’ </w:t>
      </w:r>
      <w:r w:rsidRPr="0005669D">
        <w:t>is unclear, as traditional practices var</w:t>
      </w:r>
      <w:r>
        <w:t>y</w:t>
      </w:r>
      <w:r w:rsidRPr="0005669D">
        <w:t xml:space="preserve"> across societies, even within Ghana. The Constitution must provide a precise definition to ensure proper discourse on the constitutional position and attribute the care of a child to both parents.</w:t>
      </w:r>
      <w:r>
        <w:t xml:space="preserve"> </w:t>
      </w:r>
      <w:r w:rsidRPr="00E04C6F">
        <w:t>It further confirms equal responsibility for children</w:t>
      </w:r>
      <w:r>
        <w:t>’</w:t>
      </w:r>
      <w:r w:rsidRPr="00E04C6F">
        <w:t>s upbringing and development, compelling</w:t>
      </w:r>
      <w:r>
        <w:t xml:space="preserve"> </w:t>
      </w:r>
      <w:r w:rsidRPr="00E04C6F">
        <w:t>both parents to bear primary financial responsibilities. This aligns with societal trends and ensures women</w:t>
      </w:r>
      <w:r>
        <w:t>’</w:t>
      </w:r>
      <w:r w:rsidRPr="00E04C6F">
        <w:t>s equal participation in the economy.</w:t>
      </w:r>
      <w:r w:rsidRPr="00E04C6F">
        <w:rPr>
          <w:vertAlign w:val="superscript"/>
        </w:rPr>
        <w:footnoteReference w:id="118"/>
      </w:r>
      <w:r w:rsidRPr="00E04C6F">
        <w:t xml:space="preserve"> The Protocol guarantees an appropriate legal ground to improve child upbringing, child support, financial responsibility and economic growth.</w:t>
      </w:r>
      <w:r w:rsidRPr="00E04C6F">
        <w:rPr>
          <w:vertAlign w:val="superscript"/>
        </w:rPr>
        <w:footnoteReference w:id="119"/>
      </w:r>
      <w:r w:rsidRPr="00E04C6F">
        <w:t xml:space="preserve"> </w:t>
      </w:r>
    </w:p>
    <w:p w14:paraId="6AE14FC6" w14:textId="77777777" w:rsidR="00537326" w:rsidRPr="00B01E23" w:rsidRDefault="00537326" w:rsidP="00537326">
      <w:pPr>
        <w:pStyle w:val="BodyText"/>
      </w:pPr>
      <w:r w:rsidRPr="00B01E23">
        <w:t>South Africa has made significant progress in promoting gender equality and women</w:t>
      </w:r>
      <w:r>
        <w:t>’</w:t>
      </w:r>
      <w:r w:rsidRPr="00B01E23">
        <w:t>s rights through a robust legal framework</w:t>
      </w:r>
      <w:r>
        <w:t xml:space="preserve"> and </w:t>
      </w:r>
      <w:r w:rsidRPr="00B01E23">
        <w:t>progressive policies</w:t>
      </w:r>
      <w:r>
        <w:t>. It has also incorporated the Protocol</w:t>
      </w:r>
      <w:r w:rsidRPr="00B01E23">
        <w:t>. The establish</w:t>
      </w:r>
      <w:r>
        <w:t xml:space="preserve">ment of </w:t>
      </w:r>
      <w:r w:rsidRPr="00B01E23">
        <w:t>the Ministry for Women, the Office on the Status of Women and Gender Focal Points</w:t>
      </w:r>
      <w:r>
        <w:t xml:space="preserve"> is proof of commitment</w:t>
      </w:r>
      <w:r w:rsidRPr="00B01E23">
        <w:t xml:space="preserve">. </w:t>
      </w:r>
      <w:r>
        <w:t>Women’s r</w:t>
      </w:r>
      <w:r w:rsidRPr="00B01E23">
        <w:t xml:space="preserve">epresentation in </w:t>
      </w:r>
      <w:r>
        <w:t>p</w:t>
      </w:r>
      <w:r w:rsidRPr="00B01E23">
        <w:t>arliament has increased from twenty</w:t>
      </w:r>
      <w:r>
        <w:t xml:space="preserve">-eight per cent </w:t>
      </w:r>
      <w:r w:rsidRPr="00B01E23">
        <w:t xml:space="preserve">in 1994 to </w:t>
      </w:r>
      <w:r>
        <w:t>forty-four per cent,</w:t>
      </w:r>
      <w:r w:rsidRPr="00B01E23">
        <w:t xml:space="preserve"> ranking </w:t>
      </w:r>
      <w:r>
        <w:t xml:space="preserve">South Africa </w:t>
      </w:r>
      <w:r w:rsidRPr="00B01E23">
        <w:t>second in the Southern African Development Community</w:t>
      </w:r>
      <w:r>
        <w:t xml:space="preserve"> (SADC)</w:t>
      </w:r>
      <w:r w:rsidRPr="00B01E23">
        <w:t>.</w:t>
      </w:r>
      <w:r w:rsidRPr="00B01E23">
        <w:rPr>
          <w:vertAlign w:val="superscript"/>
        </w:rPr>
        <w:footnoteReference w:id="120"/>
      </w:r>
      <w:r>
        <w:t xml:space="preserve"> The country’s </w:t>
      </w:r>
      <w:r w:rsidRPr="00B01E23">
        <w:t>democra</w:t>
      </w:r>
      <w:r>
        <w:t xml:space="preserve">tic dispensation </w:t>
      </w:r>
      <w:r w:rsidRPr="00B01E23">
        <w:t>has seen significant progress in women</w:t>
      </w:r>
      <w:r>
        <w:t>’</w:t>
      </w:r>
      <w:r w:rsidRPr="00B01E23">
        <w:t>s representation</w:t>
      </w:r>
      <w:r>
        <w:t xml:space="preserve"> </w:t>
      </w:r>
      <w:r w:rsidRPr="00B01E23">
        <w:t>since its democratic elections in 1994. Women have held various leadership positions previously dominated by men</w:t>
      </w:r>
      <w:r>
        <w:t>,</w:t>
      </w:r>
      <w:r w:rsidRPr="00B01E23">
        <w:t xml:space="preserve"> </w:t>
      </w:r>
      <w:r>
        <w:t>such as p</w:t>
      </w:r>
      <w:r w:rsidRPr="00B01E23">
        <w:t xml:space="preserve">olice </w:t>
      </w:r>
      <w:r>
        <w:t>c</w:t>
      </w:r>
      <w:r w:rsidRPr="00B01E23">
        <w:t xml:space="preserve">ommissioner, </w:t>
      </w:r>
      <w:r>
        <w:t>p</w:t>
      </w:r>
      <w:r w:rsidRPr="00B01E23">
        <w:t xml:space="preserve">ublic </w:t>
      </w:r>
      <w:r>
        <w:t>p</w:t>
      </w:r>
      <w:r w:rsidRPr="00B01E23">
        <w:t xml:space="preserve">rotector and </w:t>
      </w:r>
      <w:r>
        <w:t>d</w:t>
      </w:r>
      <w:r w:rsidRPr="00B01E23">
        <w:t xml:space="preserve">eputy </w:t>
      </w:r>
      <w:r>
        <w:t>p</w:t>
      </w:r>
      <w:r w:rsidRPr="00B01E23">
        <w:t>resident.</w:t>
      </w:r>
      <w:r w:rsidRPr="00B01E23">
        <w:rPr>
          <w:vertAlign w:val="superscript"/>
        </w:rPr>
        <w:footnoteReference w:id="121"/>
      </w:r>
      <w:r w:rsidRPr="00B01E23">
        <w:t xml:space="preserve"> </w:t>
      </w:r>
      <w:r>
        <w:t xml:space="preserve">Women </w:t>
      </w:r>
      <w:r w:rsidRPr="00B01E23">
        <w:t xml:space="preserve">have also served as </w:t>
      </w:r>
      <w:r>
        <w:t>d</w:t>
      </w:r>
      <w:r w:rsidRPr="00B01E23">
        <w:t xml:space="preserve">eputy </w:t>
      </w:r>
      <w:r>
        <w:t>s</w:t>
      </w:r>
      <w:r w:rsidRPr="00B01E23">
        <w:t xml:space="preserve">peakers in the National Assembly and held positions in various sectors. </w:t>
      </w:r>
      <w:r>
        <w:t>For the first time in the history of South Africa,</w:t>
      </w:r>
      <w:r w:rsidRPr="00B01E23">
        <w:t xml:space="preserve"> fifty</w:t>
      </w:r>
      <w:r>
        <w:t xml:space="preserve"> per cent of ministers in the cabinet were women, while men held </w:t>
      </w:r>
      <w:r w:rsidRPr="00B01E23">
        <w:t>fifty</w:t>
      </w:r>
      <w:r>
        <w:t xml:space="preserve"> per cent of the portfolios. In the same cabinet, forty-six per cent </w:t>
      </w:r>
      <w:r w:rsidRPr="00B01E23">
        <w:t xml:space="preserve">of deputy ministers </w:t>
      </w:r>
      <w:r>
        <w:t>were women</w:t>
      </w:r>
      <w:r w:rsidRPr="00B01E23">
        <w:t>.</w:t>
      </w:r>
      <w:r w:rsidRPr="00B01E23">
        <w:rPr>
          <w:vertAlign w:val="superscript"/>
        </w:rPr>
        <w:footnoteReference w:id="122"/>
      </w:r>
      <w:r w:rsidRPr="00B01E23">
        <w:t xml:space="preserve"> The South African experience emphasi</w:t>
      </w:r>
      <w:r>
        <w:t>s</w:t>
      </w:r>
      <w:r w:rsidRPr="00B01E23">
        <w:t>es the importance of strong legal frameworks and proactive policy measures in advancing women</w:t>
      </w:r>
      <w:r>
        <w:t>’</w:t>
      </w:r>
      <w:r w:rsidRPr="00B01E23">
        <w:t xml:space="preserve">s rights </w:t>
      </w:r>
      <w:r>
        <w:t xml:space="preserve">worthy of </w:t>
      </w:r>
      <w:r w:rsidRPr="00B01E23">
        <w:t>emulat</w:t>
      </w:r>
      <w:r>
        <w:t>ion</w:t>
      </w:r>
      <w:r w:rsidRPr="00B01E23">
        <w:t>.</w:t>
      </w:r>
    </w:p>
    <w:p w14:paraId="60BE6247" w14:textId="77777777" w:rsidR="00537326" w:rsidRDefault="00537326" w:rsidP="00537326">
      <w:pPr>
        <w:pStyle w:val="BodyText"/>
      </w:pPr>
      <w:r w:rsidRPr="00B01E23">
        <w:t xml:space="preserve">Domesticating the </w:t>
      </w:r>
      <w:r>
        <w:t>P</w:t>
      </w:r>
      <w:r w:rsidRPr="00B01E23">
        <w:t>rotocol demonstrates a political will and commitment at the highest levels of government,</w:t>
      </w:r>
      <w:r>
        <w:t xml:space="preserve"> </w:t>
      </w:r>
      <w:r w:rsidRPr="00B01E23">
        <w:t xml:space="preserve">robust legal frameworks that align with international human </w:t>
      </w:r>
      <w:r w:rsidRPr="00B01E23">
        <w:lastRenderedPageBreak/>
        <w:t>rights standards, gender-responsive policies, institutional mechanisms, awareness-raising campaigns and proactive measures to address cultural barriers and discriminatory practices against women.</w:t>
      </w:r>
      <w:r w:rsidRPr="00B01E23">
        <w:rPr>
          <w:vertAlign w:val="superscript"/>
        </w:rPr>
        <w:footnoteReference w:id="123"/>
      </w:r>
    </w:p>
    <w:p w14:paraId="02CD27AC" w14:textId="77777777" w:rsidR="00537326" w:rsidRPr="0005669D" w:rsidRDefault="00537326" w:rsidP="00537326">
      <w:pPr>
        <w:pStyle w:val="Heading2"/>
      </w:pPr>
      <w:r w:rsidRPr="0005669D">
        <w:t>Implementing the Rights of Women in Ghana</w:t>
      </w:r>
      <w:r>
        <w:t>—</w:t>
      </w:r>
      <w:r w:rsidRPr="0005669D">
        <w:t>Strategic Litigation</w:t>
      </w:r>
    </w:p>
    <w:p w14:paraId="137797DA" w14:textId="77777777" w:rsidR="00537326" w:rsidRPr="0005669D" w:rsidRDefault="00537326" w:rsidP="00537326">
      <w:pPr>
        <w:pStyle w:val="BodyText"/>
      </w:pPr>
      <w:r>
        <w:t>Strategic litigation aims</w:t>
      </w:r>
      <w:r w:rsidRPr="0005669D">
        <w:t xml:space="preserve"> to achieve legal and social change through test cases by judicial systems.</w:t>
      </w:r>
      <w:r w:rsidRPr="0005669D">
        <w:rPr>
          <w:vertAlign w:val="superscript"/>
        </w:rPr>
        <w:footnoteReference w:id="124"/>
      </w:r>
      <w:r w:rsidRPr="0005669D">
        <w:t xml:space="preserve"> The process will facilitate safeguarding women</w:t>
      </w:r>
      <w:r>
        <w:t>’</w:t>
      </w:r>
      <w:r w:rsidRPr="0005669D">
        <w:t>s rights across societal structures, particularly in countries with high cases of abuse.</w:t>
      </w:r>
      <w:r w:rsidRPr="0005669D">
        <w:rPr>
          <w:shd w:val="clear" w:color="auto" w:fill="FFFFFF"/>
        </w:rPr>
        <w:t xml:space="preserve"> Both local and international laws </w:t>
      </w:r>
      <w:r w:rsidRPr="0005669D">
        <w:t>have endeavoured to achieve domestic change.</w:t>
      </w:r>
      <w:r w:rsidRPr="0005669D">
        <w:rPr>
          <w:vertAlign w:val="superscript"/>
        </w:rPr>
        <w:footnoteReference w:id="125"/>
      </w:r>
      <w:r w:rsidRPr="0005669D">
        <w:t xml:space="preserve"> While these measures are commendable, strategic litigation will further ameliorate the implementation and compliance </w:t>
      </w:r>
      <w:r>
        <w:t>with</w:t>
      </w:r>
      <w:r w:rsidRPr="0005669D">
        <w:t xml:space="preserve"> such related policies</w:t>
      </w:r>
      <w:r w:rsidRPr="0005669D">
        <w:rPr>
          <w:vertAlign w:val="superscript"/>
        </w:rPr>
        <w:t xml:space="preserve"> </w:t>
      </w:r>
      <w:r w:rsidRPr="0005669D">
        <w:t>by enabling public recognition, enforcement,</w:t>
      </w:r>
      <w:r w:rsidRPr="0005669D">
        <w:rPr>
          <w:vertAlign w:val="superscript"/>
        </w:rPr>
        <w:footnoteReference w:id="126"/>
      </w:r>
      <w:r w:rsidRPr="0005669D">
        <w:t xml:space="preserve"> restructuring access to justice and contributing to societal transformation through judicial influence on women’s rights-related issues.</w:t>
      </w:r>
      <w:r w:rsidRPr="0005669D">
        <w:rPr>
          <w:vertAlign w:val="superscript"/>
        </w:rPr>
        <w:footnoteReference w:id="127"/>
      </w:r>
      <w:r w:rsidRPr="0005669D">
        <w:t xml:space="preserve"> The judicial process seeks to enforce legislation, interpret it, review policies, raise awareness and combat stigma. Strategic litigation success is akin to advocacy initiatives and co</w:t>
      </w:r>
      <w:r>
        <w:t xml:space="preserve">llaboration </w:t>
      </w:r>
      <w:r w:rsidRPr="0005669D">
        <w:t xml:space="preserve">among stakeholders </w:t>
      </w:r>
      <w:r>
        <w:t xml:space="preserve">like </w:t>
      </w:r>
      <w:r w:rsidRPr="0005669D">
        <w:t>lawyers</w:t>
      </w:r>
      <w:r>
        <w:t xml:space="preserve"> </w:t>
      </w:r>
      <w:r w:rsidRPr="0005669D">
        <w:t>and NGOs.</w:t>
      </w:r>
      <w:r w:rsidRPr="0005669D">
        <w:rPr>
          <w:vertAlign w:val="superscript"/>
        </w:rPr>
        <w:footnoteReference w:id="128"/>
      </w:r>
      <w:r w:rsidRPr="0005669D">
        <w:t xml:space="preserve"> </w:t>
      </w:r>
    </w:p>
    <w:p w14:paraId="6E0939AC" w14:textId="77777777" w:rsidR="00537326" w:rsidRPr="009F27FC" w:rsidRDefault="00537326" w:rsidP="00537326">
      <w:pPr>
        <w:pStyle w:val="BodyText"/>
        <w:rPr>
          <w:szCs w:val="22"/>
        </w:rPr>
      </w:pPr>
      <w:bookmarkStart w:id="47" w:name="_heading=h.4d34og8" w:colFirst="0" w:colLast="0"/>
      <w:bookmarkEnd w:id="47"/>
      <w:r>
        <w:t>T</w:t>
      </w:r>
      <w:r w:rsidRPr="0005669D">
        <w:t>he African Commission on Human and Peoples</w:t>
      </w:r>
      <w:r>
        <w:t>’</w:t>
      </w:r>
      <w:r w:rsidRPr="0005669D">
        <w:t xml:space="preserve"> Rights</w:t>
      </w:r>
      <w:r>
        <w:t xml:space="preserve"> (the Commission)</w:t>
      </w:r>
      <w:r w:rsidRPr="0005669D">
        <w:t xml:space="preserve"> </w:t>
      </w:r>
      <w:r>
        <w:t xml:space="preserve">has </w:t>
      </w:r>
      <w:r w:rsidRPr="0005669D">
        <w:t>influenc</w:t>
      </w:r>
      <w:r>
        <w:t xml:space="preserve">ed the </w:t>
      </w:r>
      <w:r w:rsidRPr="0005669D">
        <w:t>decision</w:t>
      </w:r>
      <w:r>
        <w:t>s</w:t>
      </w:r>
      <w:r w:rsidRPr="0005669D">
        <w:t xml:space="preserve"> of member states on the rights of women</w:t>
      </w:r>
      <w:r>
        <w:t xml:space="preserve"> through strategic litigation</w:t>
      </w:r>
      <w:r w:rsidRPr="0005669D">
        <w:t xml:space="preserve">. In the case of </w:t>
      </w:r>
      <w:r w:rsidRPr="0005669D">
        <w:rPr>
          <w:i/>
        </w:rPr>
        <w:t xml:space="preserve">Egyptian Initiative </w:t>
      </w:r>
      <w:r>
        <w:rPr>
          <w:i/>
        </w:rPr>
        <w:t>f</w:t>
      </w:r>
      <w:r w:rsidRPr="0005669D">
        <w:rPr>
          <w:i/>
        </w:rPr>
        <w:t xml:space="preserve">or Personal Rights </w:t>
      </w:r>
      <w:r>
        <w:rPr>
          <w:i/>
        </w:rPr>
        <w:t>a</w:t>
      </w:r>
      <w:r w:rsidRPr="0005669D">
        <w:rPr>
          <w:i/>
        </w:rPr>
        <w:t xml:space="preserve">nd </w:t>
      </w:r>
      <w:proofErr w:type="spellStart"/>
      <w:r w:rsidRPr="0005669D">
        <w:rPr>
          <w:i/>
        </w:rPr>
        <w:t>Interights</w:t>
      </w:r>
      <w:proofErr w:type="spellEnd"/>
      <w:r w:rsidRPr="0005669D">
        <w:rPr>
          <w:i/>
        </w:rPr>
        <w:t xml:space="preserve"> v Arab Republic </w:t>
      </w:r>
      <w:r>
        <w:rPr>
          <w:i/>
        </w:rPr>
        <w:t>o</w:t>
      </w:r>
      <w:r w:rsidRPr="0005669D">
        <w:rPr>
          <w:i/>
        </w:rPr>
        <w:t>f Egypt</w:t>
      </w:r>
      <w:r w:rsidRPr="0005669D">
        <w:rPr>
          <w:bCs/>
        </w:rPr>
        <w:t>,</w:t>
      </w:r>
      <w:r w:rsidRPr="0005669D">
        <w:rPr>
          <w:vertAlign w:val="superscript"/>
        </w:rPr>
        <w:footnoteReference w:id="129"/>
      </w:r>
      <w:r>
        <w:rPr>
          <w:bCs/>
        </w:rPr>
        <w:t xml:space="preserve"> </w:t>
      </w:r>
      <w:r>
        <w:t>t</w:t>
      </w:r>
      <w:r w:rsidRPr="0005669D">
        <w:t xml:space="preserve">he </w:t>
      </w:r>
      <w:bookmarkStart w:id="48" w:name="_Hlk164606587"/>
      <w:r w:rsidRPr="0005669D">
        <w:t>Commission</w:t>
      </w:r>
      <w:bookmarkEnd w:id="48"/>
      <w:r>
        <w:t xml:space="preserve"> </w:t>
      </w:r>
      <w:r w:rsidRPr="0005669D">
        <w:t>received communication about the state’s violation of Article 9(2) of the African Charter on Human and Peoples</w:t>
      </w:r>
      <w:r>
        <w:t>’</w:t>
      </w:r>
      <w:r w:rsidRPr="0005669D">
        <w:t xml:space="preserve"> Rights on the violation of women’s rights, for failure to implement the rights of women assaulted and sexually violated in a protest against the government.</w:t>
      </w:r>
      <w:r w:rsidRPr="0005669D">
        <w:rPr>
          <w:vertAlign w:val="superscript"/>
        </w:rPr>
        <w:footnoteReference w:id="130"/>
      </w:r>
      <w:r w:rsidRPr="0005669D">
        <w:t xml:space="preserve"> The complainants allege a violation of Article 18(3) of the African Charter and a violation of Article 1 of the Maputo Protocol, arguing that violence against women can constitute discrimination.</w:t>
      </w:r>
      <w:r>
        <w:t xml:space="preserve"> </w:t>
      </w:r>
      <w:r w:rsidRPr="0005669D">
        <w:t>The Commission emphasi</w:t>
      </w:r>
      <w:r>
        <w:t>s</w:t>
      </w:r>
      <w:r w:rsidRPr="0005669D">
        <w:t>ed the importance of non-discrimination principles in the African Charter</w:t>
      </w:r>
      <w:r>
        <w:t xml:space="preserve"> </w:t>
      </w:r>
      <w:r w:rsidRPr="0005669D">
        <w:t>which protects women from discrimination.</w:t>
      </w:r>
      <w:r w:rsidRPr="0005669D">
        <w:rPr>
          <w:vertAlign w:val="superscript"/>
        </w:rPr>
        <w:footnoteReference w:id="131"/>
      </w:r>
      <w:r w:rsidRPr="0005669D">
        <w:t xml:space="preserve"> </w:t>
      </w:r>
      <w:r>
        <w:t xml:space="preserve">It </w:t>
      </w:r>
      <w:r w:rsidRPr="0005669D">
        <w:t>questioned whether women and male protesters received similar treatment and if it was fair and just.</w:t>
      </w:r>
      <w:r w:rsidRPr="0005669D">
        <w:rPr>
          <w:vertAlign w:val="superscript"/>
        </w:rPr>
        <w:footnoteReference w:id="132"/>
      </w:r>
      <w:r w:rsidRPr="0005669D">
        <w:t xml:space="preserve"> The Commission found that verbal assaults, such as </w:t>
      </w:r>
      <w:r>
        <w:t>‘</w:t>
      </w:r>
      <w:r w:rsidRPr="0005669D">
        <w:t>slut</w:t>
      </w:r>
      <w:r>
        <w:t>’</w:t>
      </w:r>
      <w:r w:rsidRPr="0005669D">
        <w:t xml:space="preserve"> and </w:t>
      </w:r>
      <w:r>
        <w:t>‘</w:t>
      </w:r>
      <w:r w:rsidRPr="0005669D">
        <w:t>whore</w:t>
      </w:r>
      <w:r>
        <w:t>,’</w:t>
      </w:r>
      <w:r w:rsidRPr="0005669D">
        <w:t xml:space="preserve"> were not typically </w:t>
      </w:r>
      <w:r w:rsidRPr="0005669D">
        <w:lastRenderedPageBreak/>
        <w:t xml:space="preserve">used </w:t>
      </w:r>
      <w:r w:rsidRPr="009F27FC">
        <w:rPr>
          <w:szCs w:val="22"/>
        </w:rPr>
        <w:t>against men, but rather against women who refused to adhere to traditional norms.</w:t>
      </w:r>
      <w:r w:rsidRPr="009F27FC">
        <w:rPr>
          <w:szCs w:val="22"/>
          <w:vertAlign w:val="superscript"/>
        </w:rPr>
        <w:footnoteReference w:id="133"/>
      </w:r>
      <w:r w:rsidRPr="009F27FC">
        <w:rPr>
          <w:szCs w:val="22"/>
        </w:rPr>
        <w:t xml:space="preserve"> </w:t>
      </w:r>
      <w:r>
        <w:rPr>
          <w:szCs w:val="22"/>
        </w:rPr>
        <w:t>Female protesters’ sensitive parts were touched, which amounted to physical assault and unfair targeting based on gender.</w:t>
      </w:r>
      <w:r w:rsidRPr="004D1C56">
        <w:rPr>
          <w:szCs w:val="22"/>
          <w:vertAlign w:val="superscript"/>
        </w:rPr>
        <w:footnoteReference w:id="134"/>
      </w:r>
      <w:r w:rsidRPr="009F27FC">
        <w:rPr>
          <w:szCs w:val="22"/>
        </w:rPr>
        <w:t xml:space="preserve"> </w:t>
      </w:r>
    </w:p>
    <w:p w14:paraId="72F66428" w14:textId="77777777" w:rsidR="00537326" w:rsidRPr="009F27FC" w:rsidRDefault="00537326" w:rsidP="00537326">
      <w:pPr>
        <w:pStyle w:val="BodyText"/>
        <w:rPr>
          <w:szCs w:val="22"/>
        </w:rPr>
      </w:pPr>
      <w:r w:rsidRPr="009F27FC">
        <w:rPr>
          <w:szCs w:val="22"/>
        </w:rPr>
        <w:t>The Commission deemed the treatment of women during the demonstration as illegitimate on grounds of unjustifiable reasonable cause and a form of systematic sexual violence targeted at the women. The perpetrators, aware of the consequences, sought to silence the women through violence.</w:t>
      </w:r>
      <w:r w:rsidRPr="009F27FC">
        <w:rPr>
          <w:szCs w:val="22"/>
          <w:vertAlign w:val="superscript"/>
        </w:rPr>
        <w:footnoteReference w:id="135"/>
      </w:r>
      <w:r w:rsidRPr="009F27FC">
        <w:rPr>
          <w:szCs w:val="22"/>
        </w:rPr>
        <w:t xml:space="preserve"> The Commission reiterated that states are obliged to protect women’s rights,</w:t>
      </w:r>
      <w:r w:rsidRPr="009F27FC">
        <w:rPr>
          <w:szCs w:val="22"/>
          <w:vertAlign w:val="superscript"/>
        </w:rPr>
        <w:footnoteReference w:id="136"/>
      </w:r>
      <w:r w:rsidRPr="009F27FC">
        <w:rPr>
          <w:szCs w:val="22"/>
        </w:rPr>
        <w:t xml:space="preserve"> affirming that if a state fails to protect victims from violations and does not show evidence of legitimate differential treatment,</w:t>
      </w:r>
      <w:r w:rsidRPr="009F27FC">
        <w:rPr>
          <w:szCs w:val="22"/>
          <w:vertAlign w:val="superscript"/>
        </w:rPr>
        <w:footnoteReference w:id="137"/>
      </w:r>
      <w:r w:rsidRPr="009F27FC">
        <w:rPr>
          <w:szCs w:val="22"/>
        </w:rPr>
        <w:t xml:space="preserve"> it falls short of its obligations under Article 18(3) of the African Charter.</w:t>
      </w:r>
      <w:r w:rsidRPr="009F27FC">
        <w:rPr>
          <w:szCs w:val="22"/>
          <w:vertAlign w:val="superscript"/>
        </w:rPr>
        <w:footnoteReference w:id="138"/>
      </w:r>
      <w:r w:rsidRPr="009F27FC">
        <w:rPr>
          <w:szCs w:val="22"/>
        </w:rPr>
        <w:t xml:space="preserve"> Invariably, the Commission affirmed that freedom of expression is a gender-sensitive human right, stating that both men and women have the right to protest against </w:t>
      </w:r>
      <w:r>
        <w:rPr>
          <w:szCs w:val="22"/>
        </w:rPr>
        <w:t>government</w:t>
      </w:r>
      <w:r w:rsidRPr="009F27FC">
        <w:rPr>
          <w:szCs w:val="22"/>
        </w:rPr>
        <w:t xml:space="preserve"> decisions, and states must protect female citizens, raising public awareness and understanding of litigation context.</w:t>
      </w:r>
      <w:r w:rsidRPr="009F27FC">
        <w:rPr>
          <w:rStyle w:val="FootnoteReference"/>
          <w:szCs w:val="22"/>
        </w:rPr>
        <w:footnoteReference w:id="139"/>
      </w:r>
      <w:r w:rsidRPr="009F27FC">
        <w:rPr>
          <w:szCs w:val="22"/>
        </w:rPr>
        <w:t xml:space="preserve"> The Maputo Protocol has significantly influenced the Commission’s relationship with member states, championing women’s rights initiatives and challenging state laws violating international treaties.</w:t>
      </w:r>
      <w:r w:rsidRPr="009F27FC">
        <w:rPr>
          <w:szCs w:val="22"/>
          <w:vertAlign w:val="superscript"/>
        </w:rPr>
        <w:footnoteReference w:id="140"/>
      </w:r>
      <w:r w:rsidRPr="009F27FC">
        <w:rPr>
          <w:szCs w:val="22"/>
        </w:rPr>
        <w:t xml:space="preserve"> The Protocol has established an international legal framework for the Commission’s Committee on the Rights and Welfare of Children to combat child marriages.</w:t>
      </w:r>
      <w:r w:rsidRPr="009F27FC">
        <w:rPr>
          <w:rStyle w:val="FootnoteReference"/>
          <w:szCs w:val="22"/>
        </w:rPr>
        <w:footnoteReference w:id="141"/>
      </w:r>
    </w:p>
    <w:p w14:paraId="716D494A" w14:textId="77777777" w:rsidR="00537326" w:rsidRPr="009F27FC" w:rsidRDefault="00537326" w:rsidP="00537326">
      <w:pPr>
        <w:pStyle w:val="BodyText"/>
        <w:rPr>
          <w:szCs w:val="22"/>
        </w:rPr>
      </w:pPr>
      <w:r w:rsidRPr="0005669D">
        <w:t>The Economic Community of West African States (ECOWAS) courts have recognised the Maputo Protocol, used through strategic litigation to uphold member states</w:t>
      </w:r>
      <w:r>
        <w:t>’</w:t>
      </w:r>
      <w:r w:rsidRPr="0005669D">
        <w:t xml:space="preserve"> obligations to protect women</w:t>
      </w:r>
      <w:r>
        <w:t>’</w:t>
      </w:r>
      <w:r w:rsidRPr="0005669D">
        <w:t xml:space="preserve">s rights. Dorothy Chioma </w:t>
      </w:r>
      <w:proofErr w:type="spellStart"/>
      <w:r w:rsidRPr="0005669D">
        <w:t>Njemanze</w:t>
      </w:r>
      <w:proofErr w:type="spellEnd"/>
      <w:r w:rsidRPr="0005669D">
        <w:t xml:space="preserve"> and three others filed a case against Nigeria for assault, threats and unlawful detention, accusing the country of violating international human rights instruments, particularly the Maputo Protocol.</w:t>
      </w:r>
      <w:r w:rsidRPr="0005669D">
        <w:rPr>
          <w:vertAlign w:val="superscript"/>
        </w:rPr>
        <w:footnoteReference w:id="142"/>
      </w:r>
      <w:r w:rsidRPr="0005669D">
        <w:t xml:space="preserve"> This marked the first time that the ECOWAS court applied the Maputo Protocol and ruled that Nigeria </w:t>
      </w:r>
      <w:r>
        <w:t>violated</w:t>
      </w:r>
      <w:r w:rsidRPr="0005669D">
        <w:t xml:space="preserve"> the</w:t>
      </w:r>
      <w:r>
        <w:t xml:space="preserve"> petitioners</w:t>
      </w:r>
      <w:r w:rsidRPr="0005669D">
        <w:t>.</w:t>
      </w:r>
      <w:r w:rsidRPr="0005669D">
        <w:rPr>
          <w:vertAlign w:val="superscript"/>
        </w:rPr>
        <w:footnoteReference w:id="143"/>
      </w:r>
      <w:r w:rsidRPr="0005669D">
        <w:t xml:space="preserve"> In 2019, the ECOWAS Court ruled that </w:t>
      </w:r>
      <w:bookmarkStart w:id="57" w:name="_Hlk164614429"/>
      <w:r w:rsidRPr="0005669D">
        <w:t>Sierra Leone</w:t>
      </w:r>
      <w:r>
        <w:t>’</w:t>
      </w:r>
      <w:r w:rsidRPr="0005669D">
        <w:t xml:space="preserve">s </w:t>
      </w:r>
      <w:bookmarkEnd w:id="57"/>
      <w:r w:rsidRPr="0005669D">
        <w:t xml:space="preserve">ban on pregnant schoolgirls from attending school was discriminatory </w:t>
      </w:r>
      <w:r w:rsidRPr="0005669D">
        <w:lastRenderedPageBreak/>
        <w:t>and violated female</w:t>
      </w:r>
      <w:r>
        <w:t xml:space="preserve"> </w:t>
      </w:r>
      <w:r w:rsidRPr="0005669D">
        <w:t>rig</w:t>
      </w:r>
      <w:r w:rsidRPr="009F27FC">
        <w:rPr>
          <w:szCs w:val="22"/>
        </w:rPr>
        <w:t>hts to education.</w:t>
      </w:r>
      <w:r w:rsidRPr="009F27FC">
        <w:rPr>
          <w:szCs w:val="22"/>
          <w:vertAlign w:val="superscript"/>
        </w:rPr>
        <w:footnoteReference w:id="144"/>
      </w:r>
      <w:r w:rsidRPr="009F27FC">
        <w:rPr>
          <w:szCs w:val="22"/>
        </w:rPr>
        <w:t xml:space="preserve"> The Maputo Protocol has equipped ECOWAS to </w:t>
      </w:r>
      <w:r>
        <w:rPr>
          <w:szCs w:val="22"/>
        </w:rPr>
        <w:t xml:space="preserve">use its court to </w:t>
      </w:r>
      <w:r w:rsidRPr="009F27FC">
        <w:rPr>
          <w:szCs w:val="22"/>
        </w:rPr>
        <w:t>enforce international human rights treaties on women’s rights, emphasising the need for domesticating its principles in its member states. Evidence of this is realised in the ruling of Sierra Leone’s case setting a precedent for West African countries, leading to the lifting of the ban in March 2020.</w:t>
      </w:r>
      <w:r w:rsidRPr="009F27FC">
        <w:rPr>
          <w:rStyle w:val="FootnoteReference"/>
          <w:szCs w:val="22"/>
        </w:rPr>
        <w:footnoteReference w:id="145"/>
      </w:r>
    </w:p>
    <w:p w14:paraId="08A19858" w14:textId="77777777" w:rsidR="00537326" w:rsidRPr="009F27FC" w:rsidRDefault="00537326" w:rsidP="00537326">
      <w:pPr>
        <w:pStyle w:val="BodyText"/>
        <w:rPr>
          <w:szCs w:val="22"/>
        </w:rPr>
      </w:pPr>
      <w:r w:rsidRPr="009F27FC">
        <w:rPr>
          <w:szCs w:val="22"/>
        </w:rPr>
        <w:t>Strategic litigation processes have demonstrated their influence in shaping both domestic and international jurisprudence on women’s rights,</w:t>
      </w:r>
      <w:r w:rsidRPr="009F27FC">
        <w:rPr>
          <w:rStyle w:val="FootnoteReference"/>
          <w:szCs w:val="22"/>
        </w:rPr>
        <w:footnoteReference w:id="146"/>
      </w:r>
      <w:r w:rsidRPr="009F27FC">
        <w:rPr>
          <w:szCs w:val="22"/>
        </w:rPr>
        <w:t xml:space="preserve"> addressing stigma and transforming societal perceptions.</w:t>
      </w:r>
      <w:r w:rsidRPr="009F27FC">
        <w:rPr>
          <w:rStyle w:val="FootnoteReference"/>
          <w:szCs w:val="22"/>
        </w:rPr>
        <w:footnoteReference w:id="147"/>
      </w:r>
      <w:r w:rsidRPr="009F27FC">
        <w:rPr>
          <w:szCs w:val="22"/>
        </w:rPr>
        <w:t xml:space="preserve"> It is a useful mechanism to restore victims’ sense of justice,</w:t>
      </w:r>
      <w:r w:rsidRPr="009F27FC">
        <w:rPr>
          <w:rStyle w:val="FootnoteReference"/>
          <w:szCs w:val="22"/>
        </w:rPr>
        <w:footnoteReference w:id="148"/>
      </w:r>
      <w:r w:rsidRPr="009F27FC">
        <w:rPr>
          <w:szCs w:val="22"/>
        </w:rPr>
        <w:t xml:space="preserve"> empower them,</w:t>
      </w:r>
      <w:r w:rsidRPr="009F27FC">
        <w:rPr>
          <w:rStyle w:val="FootnoteReference"/>
          <w:szCs w:val="22"/>
        </w:rPr>
        <w:footnoteReference w:id="149"/>
      </w:r>
      <w:r w:rsidRPr="009F27FC">
        <w:rPr>
          <w:szCs w:val="22"/>
        </w:rPr>
        <w:t xml:space="preserve"> and facilitate reparation measures, including financial, material and symbolic reparations.</w:t>
      </w:r>
      <w:r w:rsidRPr="009F27FC">
        <w:rPr>
          <w:rStyle w:val="FootnoteReference"/>
          <w:szCs w:val="22"/>
        </w:rPr>
        <w:footnoteReference w:id="150"/>
      </w:r>
      <w:r w:rsidRPr="009F27FC">
        <w:rPr>
          <w:szCs w:val="22"/>
        </w:rPr>
        <w:t xml:space="preserve"> Effective strategic litigation will also ensure non-reoccurrence in cases of women’s rights.</w:t>
      </w:r>
      <w:r w:rsidRPr="009F27FC">
        <w:rPr>
          <w:rStyle w:val="FootnoteReference"/>
          <w:szCs w:val="22"/>
        </w:rPr>
        <w:footnoteReference w:id="151"/>
      </w:r>
      <w:r w:rsidRPr="009F27FC">
        <w:rPr>
          <w:szCs w:val="22"/>
        </w:rPr>
        <w:t xml:space="preserve"> Ghana stands to benefit from this process to prevent discrimination against women and guarantee a higher level of implementation after the Maputo Protocol has been domesticated by mirroring such strategic litigation processes at the regional and sub-regional levels.</w:t>
      </w:r>
    </w:p>
    <w:p w14:paraId="3A5E1035" w14:textId="77777777" w:rsidR="00537326" w:rsidRPr="0005669D" w:rsidRDefault="00537326" w:rsidP="00537326">
      <w:pPr>
        <w:pStyle w:val="BodyText"/>
      </w:pPr>
      <w:r w:rsidRPr="009F27FC">
        <w:rPr>
          <w:szCs w:val="22"/>
        </w:rPr>
        <w:t xml:space="preserve">The Protocol will successfully influence domestic courts to prevent harmful practices against women. The strategic litigation case of </w:t>
      </w:r>
      <w:r w:rsidRPr="009F27FC">
        <w:rPr>
          <w:i/>
          <w:iCs/>
          <w:szCs w:val="22"/>
        </w:rPr>
        <w:t xml:space="preserve">Rebeca </w:t>
      </w:r>
      <w:proofErr w:type="spellStart"/>
      <w:r w:rsidRPr="009F27FC">
        <w:rPr>
          <w:i/>
          <w:iCs/>
          <w:szCs w:val="22"/>
        </w:rPr>
        <w:t>Gyumi</w:t>
      </w:r>
      <w:proofErr w:type="spellEnd"/>
      <w:r w:rsidRPr="009F27FC">
        <w:rPr>
          <w:i/>
          <w:iCs/>
          <w:szCs w:val="22"/>
        </w:rPr>
        <w:t xml:space="preserve"> v Attorney General</w:t>
      </w:r>
      <w:r w:rsidRPr="009F27FC">
        <w:rPr>
          <w:rStyle w:val="FootnoteReference"/>
          <w:szCs w:val="22"/>
        </w:rPr>
        <w:footnoteReference w:id="152"/>
      </w:r>
      <w:r w:rsidRPr="009F27FC">
        <w:rPr>
          <w:szCs w:val="22"/>
        </w:rPr>
        <w:t xml:space="preserve"> exemplifies this opinion. The High Court in Tanzania in this case ruled that sections 13 and 17 of the Law of Marriage Act,</w:t>
      </w:r>
      <w:r w:rsidRPr="009F27FC">
        <w:rPr>
          <w:rStyle w:val="FootnoteReference"/>
          <w:szCs w:val="22"/>
        </w:rPr>
        <w:footnoteReference w:id="153"/>
      </w:r>
      <w:r w:rsidRPr="009F27FC">
        <w:rPr>
          <w:szCs w:val="22"/>
        </w:rPr>
        <w:t xml:space="preserve"> which allowed girls under eighteen to marry, with their parents’ consent, were unconstitutional and did not qualify for inclusion in the Act, corresponding to a petition. The </w:t>
      </w:r>
      <w:r>
        <w:rPr>
          <w:szCs w:val="22"/>
        </w:rPr>
        <w:t>c</w:t>
      </w:r>
      <w:r w:rsidRPr="009F27FC">
        <w:rPr>
          <w:szCs w:val="22"/>
        </w:rPr>
        <w:t>ourt relied on the Maputo Protocol on grounds of its principles on gender equality in marriage</w:t>
      </w:r>
      <w:r w:rsidRPr="009F27FC">
        <w:rPr>
          <w:rStyle w:val="FootnoteReference"/>
          <w:szCs w:val="22"/>
        </w:rPr>
        <w:footnoteReference w:id="154"/>
      </w:r>
      <w:r w:rsidRPr="009F27FC">
        <w:rPr>
          <w:szCs w:val="22"/>
        </w:rPr>
        <w:t xml:space="preserve"> and argued that the right to equality is negated when there is differential treatment. The court emphasised the need for Tanzania to take appropriate legislative measures to ensure the rights guaranteed under art</w:t>
      </w:r>
      <w:r>
        <w:rPr>
          <w:szCs w:val="22"/>
        </w:rPr>
        <w:t>icle</w:t>
      </w:r>
      <w:r w:rsidRPr="009F27FC">
        <w:rPr>
          <w:szCs w:val="22"/>
        </w:rPr>
        <w:t xml:space="preserve"> 21(2) of the Constitution.</w:t>
      </w:r>
      <w:r w:rsidRPr="009F27FC">
        <w:rPr>
          <w:rStyle w:val="FootnoteReference"/>
          <w:szCs w:val="22"/>
        </w:rPr>
        <w:footnoteReference w:id="155"/>
      </w:r>
      <w:r w:rsidRPr="009F27FC">
        <w:rPr>
          <w:szCs w:val="22"/>
        </w:rPr>
        <w:t xml:space="preserve"> The positive impact of this decision has influenced practitioners to use the favourable ruling of the case in their efforts to advocate against child marriage.</w:t>
      </w:r>
      <w:r w:rsidRPr="009F27FC">
        <w:rPr>
          <w:rStyle w:val="FootnoteReference"/>
          <w:szCs w:val="22"/>
        </w:rPr>
        <w:footnoteReference w:id="156"/>
      </w:r>
      <w:r w:rsidRPr="009F27FC">
        <w:rPr>
          <w:szCs w:val="22"/>
        </w:rPr>
        <w:t xml:space="preserve"> Research has also pointed to the fact that judges are increasingly relying on the Maputo Protocol in cases </w:t>
      </w:r>
      <w:r w:rsidRPr="0005669D">
        <w:t xml:space="preserve">related to matrimonial property division, </w:t>
      </w:r>
      <w:r w:rsidRPr="0005669D">
        <w:lastRenderedPageBreak/>
        <w:t>demonstr</w:t>
      </w:r>
      <w:r w:rsidRPr="009F27FC">
        <w:rPr>
          <w:szCs w:val="22"/>
        </w:rPr>
        <w:t>ating satisfactory awareness among the judiciary and its impact on women’s rights, particularly in cases involving equality in the division of matrimonial property.</w:t>
      </w:r>
      <w:r w:rsidRPr="009F27FC">
        <w:rPr>
          <w:rStyle w:val="FootnoteReference"/>
          <w:szCs w:val="22"/>
        </w:rPr>
        <w:footnoteReference w:id="157"/>
      </w:r>
      <w:r w:rsidRPr="009F27FC">
        <w:rPr>
          <w:szCs w:val="22"/>
        </w:rPr>
        <w:t xml:space="preserve"> </w:t>
      </w:r>
    </w:p>
    <w:p w14:paraId="45A0897C" w14:textId="77777777" w:rsidR="00537326" w:rsidRPr="00EC734A" w:rsidRDefault="00537326" w:rsidP="00537326">
      <w:pPr>
        <w:pStyle w:val="BodyText"/>
        <w:rPr>
          <w:szCs w:val="22"/>
        </w:rPr>
      </w:pPr>
      <w:r w:rsidRPr="0005669D">
        <w:t>The Maput</w:t>
      </w:r>
      <w:r w:rsidRPr="00EC734A">
        <w:rPr>
          <w:szCs w:val="22"/>
        </w:rPr>
        <w:t xml:space="preserve">o Protocol is seldom referenced in Ghana. The case of the </w:t>
      </w:r>
      <w:r w:rsidRPr="00EC734A">
        <w:rPr>
          <w:i/>
          <w:iCs/>
          <w:szCs w:val="22"/>
        </w:rPr>
        <w:t>Commission on Human Rights and Administrative Justice (CHRAJ) and Two Others v Ghana National Fire Service and Attorney General (GHFS)</w:t>
      </w:r>
      <w:r w:rsidRPr="00EC734A">
        <w:rPr>
          <w:rStyle w:val="FootnoteReference"/>
          <w:szCs w:val="22"/>
        </w:rPr>
        <w:footnoteReference w:id="158"/>
      </w:r>
      <w:r w:rsidRPr="00EC734A">
        <w:rPr>
          <w:szCs w:val="22"/>
        </w:rPr>
        <w:t xml:space="preserve"> involving two women fired by the GNFS due to pregnancy, referred to the Protocol. The case filed by CHRAJ cited the Maputo Protocol and influenced the court’s decision that Regulation 33(6) of the GNFS Conditions of Service is discriminatory.</w:t>
      </w:r>
      <w:r w:rsidRPr="00EC734A">
        <w:rPr>
          <w:rStyle w:val="FootnoteReference"/>
          <w:szCs w:val="22"/>
        </w:rPr>
        <w:footnoteReference w:id="159"/>
      </w:r>
      <w:r w:rsidRPr="00EC734A">
        <w:rPr>
          <w:szCs w:val="22"/>
        </w:rPr>
        <w:t xml:space="preserve"> This case marked a milestone in promoting women’s rights in Ghana and called for a review of internal policies, particularly regarding reproductive health rights.</w:t>
      </w:r>
      <w:r w:rsidRPr="00EC734A">
        <w:rPr>
          <w:rStyle w:val="FootnoteReference"/>
          <w:szCs w:val="22"/>
        </w:rPr>
        <w:footnoteReference w:id="160"/>
      </w:r>
      <w:r w:rsidRPr="00EC734A">
        <w:rPr>
          <w:szCs w:val="22"/>
        </w:rPr>
        <w:t xml:space="preserve"> Domesticating the Maputo Protocol will provide judicial practitioners with a legal framework for propagating women’s rights in Ghana. It also allows the court to set judicial precedence on issues of women’s rights backed by legislation as demonstrated by the South African Constitutional Court when it ruled that section 23 of the Black Administration Act was discriminatory, allowing a deceased sister to inherit her brother’s estate</w:t>
      </w:r>
      <w:r>
        <w:rPr>
          <w:szCs w:val="22"/>
        </w:rPr>
        <w:t>.</w:t>
      </w:r>
      <w:r w:rsidRPr="00EC734A">
        <w:rPr>
          <w:szCs w:val="22"/>
        </w:rPr>
        <w:t xml:space="preserve"> </w:t>
      </w:r>
      <w:r>
        <w:rPr>
          <w:szCs w:val="22"/>
        </w:rPr>
        <w:t xml:space="preserve">This </w:t>
      </w:r>
      <w:r w:rsidRPr="00EC734A">
        <w:rPr>
          <w:szCs w:val="22"/>
        </w:rPr>
        <w:t>ensur</w:t>
      </w:r>
      <w:r>
        <w:rPr>
          <w:szCs w:val="22"/>
        </w:rPr>
        <w:t>ed</w:t>
      </w:r>
      <w:r w:rsidRPr="00EC734A">
        <w:rPr>
          <w:szCs w:val="22"/>
        </w:rPr>
        <w:t xml:space="preserve"> equality and non-discrimination under the South African Constitution.</w:t>
      </w:r>
      <w:r w:rsidRPr="00EC734A">
        <w:rPr>
          <w:rStyle w:val="FootnoteReference"/>
          <w:szCs w:val="22"/>
        </w:rPr>
        <w:footnoteReference w:id="161"/>
      </w:r>
      <w:r w:rsidRPr="00EC734A">
        <w:rPr>
          <w:szCs w:val="22"/>
        </w:rPr>
        <w:t xml:space="preserve"> </w:t>
      </w:r>
    </w:p>
    <w:p w14:paraId="3AC737C8" w14:textId="77777777" w:rsidR="00537326" w:rsidRPr="00E97327" w:rsidRDefault="00537326" w:rsidP="00537326">
      <w:pPr>
        <w:pStyle w:val="Heading2"/>
      </w:pPr>
      <w:r w:rsidRPr="00E97327">
        <w:t>A Three-fold Reformative Framework</w:t>
      </w:r>
      <w:r>
        <w:t>—</w:t>
      </w:r>
      <w:r w:rsidRPr="00E97327">
        <w:t>Recommendation</w:t>
      </w:r>
    </w:p>
    <w:p w14:paraId="07B3D66A" w14:textId="1BA68359" w:rsidR="00537326" w:rsidRPr="0005669D" w:rsidRDefault="00537326" w:rsidP="00537326">
      <w:pPr>
        <w:pStyle w:val="BodyText"/>
      </w:pPr>
      <w:r w:rsidRPr="0005669D">
        <w:t>Domesticating the Maputo Protocol is a</w:t>
      </w:r>
      <w:r>
        <w:t xml:space="preserve"> gender-responsive measure that </w:t>
      </w:r>
      <w:r w:rsidRPr="0005669D">
        <w:t xml:space="preserve">will </w:t>
      </w:r>
      <w:r>
        <w:t xml:space="preserve">be beneficial subject to adequate reformative measures, including </w:t>
      </w:r>
      <w:r w:rsidRPr="0005669D">
        <w:t xml:space="preserve">constitutional, legislative and judicial </w:t>
      </w:r>
      <w:r>
        <w:t>measures</w:t>
      </w:r>
      <w:r w:rsidRPr="0005669D">
        <w:t>.</w:t>
      </w:r>
    </w:p>
    <w:p w14:paraId="1935636C" w14:textId="77777777" w:rsidR="00537326" w:rsidRPr="0005669D" w:rsidRDefault="00537326" w:rsidP="00537326">
      <w:pPr>
        <w:pStyle w:val="Heading3"/>
      </w:pPr>
      <w:r w:rsidRPr="0005669D">
        <w:t xml:space="preserve">Constitutional </w:t>
      </w:r>
      <w:r>
        <w:t>Reform</w:t>
      </w:r>
      <w:r w:rsidRPr="0005669D">
        <w:t xml:space="preserve"> </w:t>
      </w:r>
    </w:p>
    <w:p w14:paraId="3033E194" w14:textId="77777777" w:rsidR="00537326" w:rsidRPr="0005669D" w:rsidRDefault="00537326" w:rsidP="00537326">
      <w:pPr>
        <w:pStyle w:val="BodyText"/>
      </w:pPr>
      <w:bookmarkStart w:id="60" w:name="_heading=h.17dp8vu" w:colFirst="0" w:colLast="0"/>
      <w:bookmarkEnd w:id="60"/>
      <w:r w:rsidRPr="0005669D">
        <w:t xml:space="preserve">The </w:t>
      </w:r>
      <w:r>
        <w:t>‘</w:t>
      </w:r>
      <w:r w:rsidRPr="0005669D">
        <w:t>one</w:t>
      </w:r>
      <w:r>
        <w:t>-</w:t>
      </w:r>
      <w:r w:rsidRPr="0005669D">
        <w:t>size</w:t>
      </w:r>
      <w:r>
        <w:t>-</w:t>
      </w:r>
      <w:r w:rsidRPr="0005669D">
        <w:t>fi</w:t>
      </w:r>
      <w:r>
        <w:t>ts-</w:t>
      </w:r>
      <w:r w:rsidRPr="0005669D">
        <w:t>all</w:t>
      </w:r>
      <w:r>
        <w:t>’</w:t>
      </w:r>
      <w:r w:rsidRPr="0005669D">
        <w:t xml:space="preserve"> constitutional provision on protecting the rights of citizens is not detailed to capture the discriminatory societal trends</w:t>
      </w:r>
      <w:r>
        <w:t xml:space="preserve"> towards women</w:t>
      </w:r>
      <w:r w:rsidRPr="0005669D">
        <w:t>.</w:t>
      </w:r>
      <w:r w:rsidRPr="0005669D">
        <w:rPr>
          <w:vertAlign w:val="superscript"/>
        </w:rPr>
        <w:footnoteReference w:id="162"/>
      </w:r>
      <w:r w:rsidRPr="0005669D">
        <w:t xml:space="preserve"> While </w:t>
      </w:r>
      <w:r>
        <w:t>a</w:t>
      </w:r>
      <w:r w:rsidRPr="0005669D">
        <w:t xml:space="preserve">rticle 12 establishes the foundation of protecting the rights of all citizens and </w:t>
      </w:r>
      <w:r>
        <w:t>a</w:t>
      </w:r>
      <w:r w:rsidRPr="0005669D">
        <w:t xml:space="preserve">rticle 35(5) admonishes the state to actively promote integration and prohibit </w:t>
      </w:r>
      <w:r>
        <w:t xml:space="preserve">gender </w:t>
      </w:r>
      <w:r w:rsidRPr="0005669D">
        <w:t>discrimination, explicitly stating those laws on the rights of women is necessary to change the narrative and status quo of social and cultural trends that advance</w:t>
      </w:r>
      <w:r>
        <w:t xml:space="preserve"> gender bias</w:t>
      </w:r>
      <w:r w:rsidRPr="0005669D">
        <w:t>.</w:t>
      </w:r>
      <w:r>
        <w:t xml:space="preserve"> </w:t>
      </w:r>
      <w:r w:rsidRPr="0005669D">
        <w:t>Aside</w:t>
      </w:r>
      <w:r>
        <w:t xml:space="preserve"> from </w:t>
      </w:r>
      <w:r w:rsidRPr="0005669D">
        <w:t>the general rules,</w:t>
      </w:r>
      <w:r w:rsidRPr="0005669D">
        <w:rPr>
          <w:vertAlign w:val="superscript"/>
        </w:rPr>
        <w:footnoteReference w:id="163"/>
      </w:r>
      <w:r>
        <w:t xml:space="preserve"> </w:t>
      </w:r>
      <w:r w:rsidRPr="0005669D">
        <w:t>enshrined constitutional provisions</w:t>
      </w:r>
      <w:r>
        <w:t>,</w:t>
      </w:r>
      <w:r w:rsidRPr="0005669D">
        <w:t xml:space="preserve"> specifically on the </w:t>
      </w:r>
      <w:r>
        <w:t xml:space="preserve">unique </w:t>
      </w:r>
      <w:r w:rsidRPr="0005669D">
        <w:t>rights of women</w:t>
      </w:r>
      <w:r w:rsidRPr="0005669D">
        <w:rPr>
          <w:vertAlign w:val="superscript"/>
        </w:rPr>
        <w:t xml:space="preserve"> </w:t>
      </w:r>
      <w:r w:rsidRPr="0005669D">
        <w:t>to guarantee</w:t>
      </w:r>
      <w:r>
        <w:t xml:space="preserve"> gender equality, are expedient</w:t>
      </w:r>
      <w:r w:rsidRPr="0005669D">
        <w:t>.</w:t>
      </w:r>
      <w:r w:rsidRPr="0005669D">
        <w:rPr>
          <w:vertAlign w:val="superscript"/>
        </w:rPr>
        <w:footnoteReference w:id="164"/>
      </w:r>
      <w:r w:rsidRPr="0005669D">
        <w:t xml:space="preserve"> An amendment should mandate </w:t>
      </w:r>
      <w:r w:rsidRPr="0005669D">
        <w:lastRenderedPageBreak/>
        <w:t>the government to provide necessary facilities and opportunities appropriate to improve women</w:t>
      </w:r>
      <w:r>
        <w:t>’</w:t>
      </w:r>
      <w:r w:rsidRPr="0005669D">
        <w:t>s welfare, enabling them to reach their full potential and achieve advancement.</w:t>
      </w:r>
      <w:r w:rsidRPr="0005669D">
        <w:rPr>
          <w:vertAlign w:val="superscript"/>
        </w:rPr>
        <w:footnoteReference w:id="165"/>
      </w:r>
      <w:r w:rsidRPr="0005669D">
        <w:t xml:space="preserve"> Ghana benefits from emulating this position by constitutionally mandating the state to protect women and their rights, taking into account their unique status and natural biological functions.</w:t>
      </w:r>
      <w:r w:rsidRPr="0005669D">
        <w:rPr>
          <w:vertAlign w:val="superscript"/>
        </w:rPr>
        <w:footnoteReference w:id="166"/>
      </w:r>
      <w:r w:rsidRPr="0005669D">
        <w:t xml:space="preserve"> The provisions of the 1992 Constitution on </w:t>
      </w:r>
      <w:r>
        <w:t xml:space="preserve">women’s </w:t>
      </w:r>
      <w:r w:rsidRPr="0005669D">
        <w:t xml:space="preserve">rights should not be limited to only property-related and labour-related issues but </w:t>
      </w:r>
      <w:r>
        <w:t xml:space="preserve">be </w:t>
      </w:r>
      <w:r w:rsidRPr="0005669D">
        <w:t xml:space="preserve">extended to other women’s rights issues affecting the unique status and natural biological functions of women. </w:t>
      </w:r>
    </w:p>
    <w:p w14:paraId="5161BF36" w14:textId="77777777" w:rsidR="00537326" w:rsidRPr="0005669D" w:rsidRDefault="00537326" w:rsidP="00537326">
      <w:pPr>
        <w:pStyle w:val="BodyText"/>
      </w:pPr>
      <w:r w:rsidRPr="0005669D">
        <w:t xml:space="preserve">Ghana may draw lessons </w:t>
      </w:r>
      <w:r>
        <w:t xml:space="preserve">on gender reformative measures </w:t>
      </w:r>
      <w:r w:rsidRPr="0005669D">
        <w:t>from the Ugandan Constitution</w:t>
      </w:r>
      <w:r>
        <w:t xml:space="preserve">. </w:t>
      </w:r>
      <w:r w:rsidRPr="0005669D">
        <w:t xml:space="preserve">The 1992 Constitution needs </w:t>
      </w:r>
      <w:r>
        <w:t xml:space="preserve">to be </w:t>
      </w:r>
      <w:r w:rsidRPr="0005669D">
        <w:t>reform</w:t>
      </w:r>
      <w:r>
        <w:t>ed</w:t>
      </w:r>
      <w:r w:rsidRPr="0005669D">
        <w:t xml:space="preserve"> to ensure equal opportunities in political, economic and social activities.</w:t>
      </w:r>
      <w:r w:rsidRPr="0005669D">
        <w:rPr>
          <w:vertAlign w:val="superscript"/>
        </w:rPr>
        <w:footnoteReference w:id="167"/>
      </w:r>
      <w:r w:rsidRPr="0005669D">
        <w:t xml:space="preserve"> An entrenched provision dedicated to confirming affirmative action, placing a</w:t>
      </w:r>
      <w:r>
        <w:t xml:space="preserve">n obligation </w:t>
      </w:r>
      <w:r w:rsidRPr="0005669D">
        <w:t xml:space="preserve">on the state </w:t>
      </w:r>
      <w:r>
        <w:t xml:space="preserve">to take gender proactive </w:t>
      </w:r>
      <w:r w:rsidRPr="0005669D">
        <w:t xml:space="preserve">measures beneficial </w:t>
      </w:r>
      <w:r>
        <w:t>to</w:t>
      </w:r>
      <w:r w:rsidRPr="0005669D">
        <w:t xml:space="preserve"> actualising the </w:t>
      </w:r>
      <w:r>
        <w:t xml:space="preserve">government’s </w:t>
      </w:r>
      <w:r w:rsidRPr="0005669D">
        <w:t>mandate to citizens.</w:t>
      </w:r>
      <w:r w:rsidRPr="0005669D">
        <w:rPr>
          <w:vertAlign w:val="superscript"/>
        </w:rPr>
        <w:footnoteReference w:id="168"/>
      </w:r>
      <w:r w:rsidRPr="0005669D">
        <w:t xml:space="preserve"> The state</w:t>
      </w:r>
      <w:r>
        <w:t xml:space="preserve"> obligation</w:t>
      </w:r>
      <w:r w:rsidRPr="0005669D">
        <w:t xml:space="preserve"> should incorporate a directive </w:t>
      </w:r>
      <w:r>
        <w:t>to</w:t>
      </w:r>
      <w:r w:rsidRPr="0005669D">
        <w:t xml:space="preserve"> </w:t>
      </w:r>
      <w:r>
        <w:t>p</w:t>
      </w:r>
      <w:r w:rsidRPr="0005669D">
        <w:t>arliament to create relevant laws, including laws for the establishment of an equal opportunities commission, to give full effect to affirmative action.</w:t>
      </w:r>
      <w:r w:rsidRPr="0005669D">
        <w:rPr>
          <w:vertAlign w:val="superscript"/>
        </w:rPr>
        <w:footnoteReference w:id="169"/>
      </w:r>
      <w:r>
        <w:t xml:space="preserve"> The proposed law should consider domesticating the Maputo Protocol. </w:t>
      </w:r>
      <w:r w:rsidRPr="0005669D">
        <w:t xml:space="preserve">A progressive </w:t>
      </w:r>
      <w:r>
        <w:t>c</w:t>
      </w:r>
      <w:r w:rsidRPr="0005669D">
        <w:t>onstitution is essential for ensuring women</w:t>
      </w:r>
      <w:r>
        <w:t>’</w:t>
      </w:r>
      <w:r w:rsidRPr="0005669D">
        <w:t>s rights</w:t>
      </w:r>
      <w:r>
        <w:t xml:space="preserve"> and gender equality for </w:t>
      </w:r>
      <w:r w:rsidRPr="0005669D">
        <w:t>development and nation-building.</w:t>
      </w:r>
    </w:p>
    <w:p w14:paraId="2DF1494B" w14:textId="77777777" w:rsidR="00537326" w:rsidRPr="0005669D" w:rsidRDefault="00537326" w:rsidP="00537326">
      <w:pPr>
        <w:pStyle w:val="Heading3"/>
      </w:pPr>
      <w:r w:rsidRPr="0005669D">
        <w:t xml:space="preserve">Legislative </w:t>
      </w:r>
      <w:r>
        <w:t>M</w:t>
      </w:r>
      <w:r w:rsidRPr="0005669D">
        <w:t xml:space="preserve">eans of </w:t>
      </w:r>
      <w:r>
        <w:t>I</w:t>
      </w:r>
      <w:r w:rsidRPr="0005669D">
        <w:t>mplementation</w:t>
      </w:r>
    </w:p>
    <w:p w14:paraId="1C959173" w14:textId="77777777" w:rsidR="00537326" w:rsidRPr="00E61C97" w:rsidRDefault="00537326" w:rsidP="00537326">
      <w:pPr>
        <w:pStyle w:val="BodyText"/>
        <w:rPr>
          <w:szCs w:val="22"/>
        </w:rPr>
      </w:pPr>
      <w:r>
        <w:t>A p</w:t>
      </w:r>
      <w:r w:rsidRPr="0005669D">
        <w:t>arliament</w:t>
      </w:r>
      <w:r>
        <w:t>ar</w:t>
      </w:r>
      <w:r w:rsidRPr="00E61C97">
        <w:rPr>
          <w:szCs w:val="22"/>
        </w:rPr>
        <w:t xml:space="preserve">y enactment ensuring women’s rights and spelling out serious sanctions and punitive measures for violating them is beneficial to gender mainstreaming. Constitutional reforms should mandate parliament to enact a comprehensive law on women’s rights. Parliament should domesticate the Maputo Protocol by an Act to provide a single document tailored to suit the unique rights of women, based on the CEDAW principles. Parliament’s delay in passing the 2003 Affirmative Action Bill and </w:t>
      </w:r>
      <w:bookmarkStart w:id="63" w:name="_Hlk165192870"/>
      <w:r w:rsidRPr="00E61C97">
        <w:rPr>
          <w:szCs w:val="22"/>
        </w:rPr>
        <w:t>the 2009 Property Rights of Spouses Bill</w:t>
      </w:r>
      <w:bookmarkEnd w:id="63"/>
      <w:r w:rsidRPr="00E61C97">
        <w:rPr>
          <w:szCs w:val="22"/>
        </w:rPr>
        <w:t xml:space="preserve"> is suspicious and alludes to a disinterest in establishing laws to combat all forms of discrimination against women. The display of non-commitment amounts to contravening the Constitution</w:t>
      </w:r>
      <w:r w:rsidRPr="00E61C97">
        <w:rPr>
          <w:rStyle w:val="FootnoteReference"/>
          <w:szCs w:val="22"/>
        </w:rPr>
        <w:footnoteReference w:id="170"/>
      </w:r>
      <w:r w:rsidRPr="00E61C97">
        <w:rPr>
          <w:szCs w:val="22"/>
        </w:rPr>
        <w:t xml:space="preserve"> and prudent accountability requires Supreme Court enforcement through interpretation and judicial declaration.</w:t>
      </w:r>
      <w:r w:rsidRPr="00E61C97">
        <w:rPr>
          <w:szCs w:val="22"/>
          <w:vertAlign w:val="superscript"/>
        </w:rPr>
        <w:footnoteReference w:id="171"/>
      </w:r>
      <w:r w:rsidRPr="00E61C97">
        <w:rPr>
          <w:szCs w:val="22"/>
        </w:rPr>
        <w:t xml:space="preserve"> </w:t>
      </w:r>
    </w:p>
    <w:p w14:paraId="30F99C08" w14:textId="77777777" w:rsidR="00537326" w:rsidRPr="007754F8" w:rsidRDefault="00537326" w:rsidP="00537326">
      <w:pPr>
        <w:pStyle w:val="BodyText"/>
        <w:rPr>
          <w:color w:val="FF0000"/>
          <w:szCs w:val="22"/>
        </w:rPr>
      </w:pPr>
      <w:r w:rsidRPr="00E61C97">
        <w:rPr>
          <w:szCs w:val="22"/>
        </w:rPr>
        <w:t>Parliament’s reluctance to pass the affirmative action bill can be addressed by seeking redress from the Supreme Court to exercise its original jurisdiction through a petition by civil society organisations, pressure groups or an interested</w:t>
      </w:r>
      <w:r w:rsidRPr="0005669D">
        <w:t xml:space="preserve"> party on grounds of </w:t>
      </w:r>
      <w:r>
        <w:lastRenderedPageBreak/>
        <w:t>a</w:t>
      </w:r>
      <w:r w:rsidRPr="0005669D">
        <w:t>rtic</w:t>
      </w:r>
      <w:r w:rsidRPr="007754F8">
        <w:rPr>
          <w:szCs w:val="22"/>
        </w:rPr>
        <w:t>les 1(2),</w:t>
      </w:r>
      <w:r w:rsidRPr="007754F8">
        <w:rPr>
          <w:rStyle w:val="FootnoteReference"/>
          <w:szCs w:val="22"/>
        </w:rPr>
        <w:footnoteReference w:id="172"/>
      </w:r>
      <w:r w:rsidRPr="007754F8">
        <w:rPr>
          <w:szCs w:val="22"/>
        </w:rPr>
        <w:t xml:space="preserve"> 2(1, 2 and 3)</w:t>
      </w:r>
      <w:r w:rsidRPr="007754F8">
        <w:rPr>
          <w:rStyle w:val="FootnoteReference"/>
          <w:szCs w:val="22"/>
        </w:rPr>
        <w:footnoteReference w:id="173"/>
      </w:r>
      <w:r w:rsidRPr="007754F8">
        <w:rPr>
          <w:szCs w:val="22"/>
        </w:rPr>
        <w:t xml:space="preserve"> and article 130</w:t>
      </w:r>
      <w:r w:rsidRPr="007754F8">
        <w:rPr>
          <w:rStyle w:val="FootnoteReference"/>
          <w:szCs w:val="22"/>
        </w:rPr>
        <w:footnoteReference w:id="174"/>
      </w:r>
      <w:r w:rsidRPr="007754F8">
        <w:rPr>
          <w:szCs w:val="22"/>
        </w:rPr>
        <w:t xml:space="preserve"> of the 1992 Constitution to give an interpretation of </w:t>
      </w:r>
      <w:r>
        <w:rPr>
          <w:szCs w:val="22"/>
        </w:rPr>
        <w:t>p</w:t>
      </w:r>
      <w:r w:rsidRPr="007754F8">
        <w:rPr>
          <w:szCs w:val="22"/>
        </w:rPr>
        <w:t>arliament’s original jurisdiction to make laws as per article 106. The exercise of the Supreme Court’s original jurisdiction is in line with the principles of ‘separation of powers and the equally salutary principle of checks and balances, to ensure that all organs of the state, as far as is possible, operate harmoniously within the constitutional framework…’ is important.</w:t>
      </w:r>
      <w:r w:rsidRPr="007754F8">
        <w:rPr>
          <w:rStyle w:val="FootnoteReference"/>
          <w:szCs w:val="22"/>
        </w:rPr>
        <w:footnoteReference w:id="175"/>
      </w:r>
      <w:r w:rsidRPr="007754F8">
        <w:rPr>
          <w:szCs w:val="22"/>
        </w:rPr>
        <w:t xml:space="preserve"> A petitioner may seek a declaration on parliament’s reluctance to perform its duties on passing the affirmative action and the 2009 property rights of spouses bills</w:t>
      </w:r>
      <w:r w:rsidRPr="007754F8">
        <w:rPr>
          <w:rStyle w:val="FootnoteReference"/>
          <w:szCs w:val="22"/>
        </w:rPr>
        <w:footnoteReference w:id="176"/>
      </w:r>
      <w:r w:rsidRPr="007754F8">
        <w:rPr>
          <w:szCs w:val="22"/>
        </w:rPr>
        <w:t xml:space="preserve"> and seek enforcement of the constitutional mandate on parliament’s lawmaking exclusive jurisdictions,</w:t>
      </w:r>
      <w:r w:rsidRPr="007754F8">
        <w:rPr>
          <w:rStyle w:val="FootnoteReference"/>
          <w:szCs w:val="22"/>
        </w:rPr>
        <w:footnoteReference w:id="177"/>
      </w:r>
      <w:r w:rsidRPr="007754F8">
        <w:rPr>
          <w:szCs w:val="22"/>
        </w:rPr>
        <w:t xml:space="preserve"> in line with enforcing the Directive Principles of State Policy on protecting the rights of women.</w:t>
      </w:r>
      <w:r w:rsidRPr="007754F8">
        <w:rPr>
          <w:rStyle w:val="FootnoteReference"/>
          <w:szCs w:val="22"/>
        </w:rPr>
        <w:footnoteReference w:id="178"/>
      </w:r>
      <w:r w:rsidRPr="007754F8">
        <w:rPr>
          <w:szCs w:val="22"/>
        </w:rPr>
        <w:t xml:space="preserve"> The Constitution of Ghana ensures that all government agencies, including parliament, are subject to it. Any petition of inconsistency or </w:t>
      </w:r>
      <w:r w:rsidRPr="007754F8">
        <w:rPr>
          <w:i/>
          <w:iCs/>
          <w:szCs w:val="22"/>
        </w:rPr>
        <w:t>ultra vires</w:t>
      </w:r>
      <w:r w:rsidRPr="007754F8">
        <w:rPr>
          <w:szCs w:val="22"/>
        </w:rPr>
        <w:t xml:space="preserve"> actions renders parliament’s actions subject to the Supreme Court’s jurisdiction.</w:t>
      </w:r>
      <w:r w:rsidRPr="007754F8">
        <w:rPr>
          <w:rStyle w:val="FootnoteReference"/>
          <w:szCs w:val="22"/>
        </w:rPr>
        <w:footnoteReference w:id="179"/>
      </w:r>
      <w:r w:rsidRPr="007754F8">
        <w:rPr>
          <w:szCs w:val="22"/>
        </w:rPr>
        <w:t xml:space="preserve"> </w:t>
      </w:r>
    </w:p>
    <w:p w14:paraId="72E39BAC" w14:textId="77777777" w:rsidR="00537326" w:rsidRPr="0005669D" w:rsidRDefault="00537326" w:rsidP="00537326">
      <w:pPr>
        <w:pStyle w:val="Heading3"/>
      </w:pPr>
      <w:r w:rsidRPr="0005669D">
        <w:t xml:space="preserve"> Judicial and </w:t>
      </w:r>
      <w:r>
        <w:t>S</w:t>
      </w:r>
      <w:r w:rsidRPr="0005669D">
        <w:t xml:space="preserve">trategic </w:t>
      </w:r>
      <w:r>
        <w:t>M</w:t>
      </w:r>
      <w:r w:rsidRPr="0005669D">
        <w:t xml:space="preserve">eans of </w:t>
      </w:r>
      <w:r>
        <w:t>I</w:t>
      </w:r>
      <w:r w:rsidRPr="0005669D">
        <w:t xml:space="preserve">mplementation  </w:t>
      </w:r>
    </w:p>
    <w:p w14:paraId="20D7FB3D" w14:textId="77777777" w:rsidR="00537326" w:rsidRPr="0005669D" w:rsidRDefault="00537326" w:rsidP="00537326">
      <w:pPr>
        <w:pStyle w:val="BodyText"/>
      </w:pPr>
      <w:r w:rsidRPr="0005669D">
        <w:t>The judicia</w:t>
      </w:r>
      <w:r>
        <w:t xml:space="preserve">ry </w:t>
      </w:r>
      <w:r w:rsidRPr="0005669D">
        <w:t xml:space="preserve">must enforce </w:t>
      </w:r>
      <w:r>
        <w:t>gender equality laws through the decisions of petitions brought before the court</w:t>
      </w:r>
      <w:r w:rsidRPr="0005669D">
        <w:t>.</w:t>
      </w:r>
      <w:r w:rsidRPr="0005669D">
        <w:rPr>
          <w:vertAlign w:val="superscript"/>
        </w:rPr>
        <w:footnoteReference w:id="180"/>
      </w:r>
      <w:r>
        <w:t xml:space="preserve"> </w:t>
      </w:r>
      <w:r w:rsidRPr="00B37669">
        <w:t>Collaborations among private individuals, pressure groups, female activist groups, media and civil society organi</w:t>
      </w:r>
      <w:r>
        <w:t>s</w:t>
      </w:r>
      <w:r w:rsidRPr="00B37669">
        <w:t xml:space="preserve">ations are </w:t>
      </w:r>
      <w:r>
        <w:t xml:space="preserve">essential </w:t>
      </w:r>
      <w:r w:rsidRPr="00B37669">
        <w:t xml:space="preserve">to </w:t>
      </w:r>
      <w:r>
        <w:t xml:space="preserve">constantly </w:t>
      </w:r>
      <w:r w:rsidRPr="00B37669">
        <w:t>petition</w:t>
      </w:r>
      <w:r>
        <w:t xml:space="preserve"> </w:t>
      </w:r>
      <w:r w:rsidRPr="00B37669">
        <w:t>the court for accountability and transparency in women</w:t>
      </w:r>
      <w:r>
        <w:t>’</w:t>
      </w:r>
      <w:r w:rsidRPr="00B37669">
        <w:t>s rights violations</w:t>
      </w:r>
      <w:r w:rsidRPr="00991750">
        <w:rPr>
          <w:color w:val="000000" w:themeColor="text1"/>
        </w:rPr>
        <w:t>. The court</w:t>
      </w:r>
      <w:r>
        <w:rPr>
          <w:color w:val="000000" w:themeColor="text1"/>
        </w:rPr>
        <w:t>’</w:t>
      </w:r>
      <w:r w:rsidRPr="00991750">
        <w:rPr>
          <w:color w:val="000000" w:themeColor="text1"/>
        </w:rPr>
        <w:t>s decisions on these strategic cases enforce and advance best gender practices. A</w:t>
      </w:r>
      <w:r>
        <w:rPr>
          <w:color w:val="000000" w:themeColor="text1"/>
        </w:rPr>
        <w:t xml:space="preserve"> </w:t>
      </w:r>
      <w:r>
        <w:t>c</w:t>
      </w:r>
      <w:r w:rsidRPr="0005669D">
        <w:t>onstitution</w:t>
      </w:r>
      <w:r>
        <w:t xml:space="preserve">al amendment and parliamentary enactment on gender proactive </w:t>
      </w:r>
      <w:r w:rsidRPr="0005669D">
        <w:t>reforms afford the judicia</w:t>
      </w:r>
      <w:r>
        <w:t xml:space="preserve">ry an advanced legal framework </w:t>
      </w:r>
      <w:r w:rsidRPr="0005669D">
        <w:t xml:space="preserve">to implement laws </w:t>
      </w:r>
      <w:r>
        <w:t xml:space="preserve">on </w:t>
      </w:r>
      <w:r w:rsidRPr="0005669D">
        <w:t xml:space="preserve">eliminating all forms of discrimination against women. </w:t>
      </w:r>
    </w:p>
    <w:p w14:paraId="18CE206A" w14:textId="77777777" w:rsidR="00537326" w:rsidRPr="0005669D" w:rsidRDefault="00537326" w:rsidP="00C6209A">
      <w:pPr>
        <w:pStyle w:val="Heading2"/>
      </w:pPr>
      <w:r w:rsidRPr="0005669D">
        <w:t xml:space="preserve">Conclusion </w:t>
      </w:r>
    </w:p>
    <w:p w14:paraId="36BE4066" w14:textId="77777777" w:rsidR="00537326" w:rsidRDefault="00537326" w:rsidP="00537326">
      <w:pPr>
        <w:pStyle w:val="BodyText"/>
      </w:pPr>
      <w:r w:rsidRPr="0005669D">
        <w:t>Th</w:t>
      </w:r>
      <w:r>
        <w:t xml:space="preserve">e article </w:t>
      </w:r>
      <w:r w:rsidRPr="0005669D">
        <w:t xml:space="preserve">advocates for </w:t>
      </w:r>
      <w:r>
        <w:t>an extension</w:t>
      </w:r>
      <w:r w:rsidRPr="0005669D">
        <w:t xml:space="preserve"> of the legal framework o</w:t>
      </w:r>
      <w:r>
        <w:t>n</w:t>
      </w:r>
      <w:r w:rsidRPr="0005669D">
        <w:t xml:space="preserve"> women’s rights in Ghana to confirm </w:t>
      </w:r>
      <w:r>
        <w:t xml:space="preserve">rigorous mechanisms for </w:t>
      </w:r>
      <w:r w:rsidRPr="0005669D">
        <w:t>protecti</w:t>
      </w:r>
      <w:r>
        <w:t xml:space="preserve">ng </w:t>
      </w:r>
      <w:r w:rsidRPr="0005669D">
        <w:t>women</w:t>
      </w:r>
      <w:r>
        <w:t>’s rights</w:t>
      </w:r>
      <w:r w:rsidRPr="0005669D">
        <w:t xml:space="preserve">. </w:t>
      </w:r>
      <w:r>
        <w:t>The article recommends an amendment of a</w:t>
      </w:r>
      <w:r w:rsidRPr="0005669D">
        <w:t xml:space="preserve">rticles 22 and 27 of </w:t>
      </w:r>
      <w:r>
        <w:t xml:space="preserve">the </w:t>
      </w:r>
      <w:r w:rsidRPr="0005669D">
        <w:t xml:space="preserve">1992 Constitution to </w:t>
      </w:r>
      <w:r>
        <w:t>incorporate extensive gender-responsive policies and domesticate the Maputo Protocol by an Act of Parliament to address gender disparity</w:t>
      </w:r>
      <w:r w:rsidRPr="00ED4EDD">
        <w:t xml:space="preserve"> that upholds the general principles of CEDAW and serves as a comprehensive and progressive legal framework for promoting gender </w:t>
      </w:r>
      <w:r w:rsidRPr="00ED4EDD">
        <w:lastRenderedPageBreak/>
        <w:t>equality and protecting women’s rights.</w:t>
      </w:r>
      <w:r>
        <w:t xml:space="preserve"> The reform should be </w:t>
      </w:r>
      <w:r w:rsidRPr="0005669D">
        <w:t xml:space="preserve">distinct from the general fundamental human rights in </w:t>
      </w:r>
      <w:r>
        <w:t>a</w:t>
      </w:r>
      <w:r w:rsidRPr="0005669D">
        <w:t>rticle</w:t>
      </w:r>
      <w:r>
        <w:t>s</w:t>
      </w:r>
      <w:r w:rsidRPr="0005669D">
        <w:t xml:space="preserve"> 12</w:t>
      </w:r>
      <w:r>
        <w:t xml:space="preserve"> and 35(5)</w:t>
      </w:r>
      <w:r w:rsidRPr="0005669D">
        <w:t xml:space="preserve"> </w:t>
      </w:r>
      <w:r>
        <w:t xml:space="preserve">of the </w:t>
      </w:r>
      <w:r w:rsidRPr="0005669D">
        <w:t>Constitution</w:t>
      </w:r>
      <w:r>
        <w:t xml:space="preserve"> to address the </w:t>
      </w:r>
      <w:r w:rsidRPr="0005669D">
        <w:t>unique</w:t>
      </w:r>
      <w:r>
        <w:t xml:space="preserve"> forms of gender-based violence</w:t>
      </w:r>
      <w:r w:rsidRPr="0005669D">
        <w:t>.</w:t>
      </w:r>
      <w:r>
        <w:t xml:space="preserve"> The article further considers </w:t>
      </w:r>
      <w:r w:rsidRPr="0005669D">
        <w:t xml:space="preserve">strategic litigation as a </w:t>
      </w:r>
      <w:r>
        <w:t xml:space="preserve">practical </w:t>
      </w:r>
      <w:r w:rsidRPr="0005669D">
        <w:t>judicial measure</w:t>
      </w:r>
      <w:r>
        <w:t xml:space="preserve"> to guarantee compliance by analysing the implementation of the Protocol in other jurisdictions through strategic litigation</w:t>
      </w:r>
      <w:r w:rsidRPr="0005669D">
        <w:t>.</w:t>
      </w:r>
    </w:p>
    <w:p w14:paraId="3BB9643E" w14:textId="77777777" w:rsidR="00537326" w:rsidRPr="0072009E" w:rsidRDefault="00537326" w:rsidP="00537326">
      <w:pPr>
        <w:pStyle w:val="Heading2"/>
      </w:pPr>
      <w:r w:rsidRPr="0005669D">
        <w:t>References</w:t>
      </w:r>
    </w:p>
    <w:p w14:paraId="52477A89" w14:textId="77777777" w:rsidR="00537326" w:rsidRDefault="00537326" w:rsidP="00537326">
      <w:pPr>
        <w:pStyle w:val="Reference"/>
      </w:pPr>
      <w:proofErr w:type="spellStart"/>
      <w:r w:rsidRPr="00502DE3">
        <w:t>Abantu</w:t>
      </w:r>
      <w:proofErr w:type="spellEnd"/>
      <w:r w:rsidRPr="00502DE3">
        <w:t xml:space="preserve"> for Development</w:t>
      </w:r>
      <w:r>
        <w:t>,</w:t>
      </w:r>
      <w:r w:rsidRPr="00502DE3">
        <w:t xml:space="preserve"> ‘Affirmative Action, the Guaranteed Way to Increasing Women</w:t>
      </w:r>
      <w:r>
        <w:t>’</w:t>
      </w:r>
      <w:r w:rsidRPr="00502DE3">
        <w:t xml:space="preserve">s Representation in Decision Making Spaces in Ghana’ </w:t>
      </w:r>
      <w:r w:rsidRPr="000E5749">
        <w:rPr>
          <w:i/>
          <w:iCs/>
        </w:rPr>
        <w:t>Ghana Today</w:t>
      </w:r>
      <w:r w:rsidRPr="00502DE3">
        <w:t xml:space="preserve"> (Accra, 18 January 2022) </w:t>
      </w:r>
      <w:r>
        <w:t>&lt;</w:t>
      </w:r>
      <w:hyperlink r:id="rId9" w:history="1">
        <w:r w:rsidRPr="00947664">
          <w:rPr>
            <w:rStyle w:val="Hyperlink"/>
          </w:rPr>
          <w:t>https://ghanatoday.gov.gh/opinion/affirmative-action-the-guaranteed-way-to-increasing-womens-representation-in-decision-making-spaces-in-ghana/</w:t>
        </w:r>
      </w:hyperlink>
      <w:r>
        <w:t>&gt;</w:t>
      </w:r>
      <w:r w:rsidRPr="00502DE3">
        <w:t xml:space="preserve"> </w:t>
      </w:r>
      <w:r>
        <w:t>accessed 4 February 2024.</w:t>
      </w:r>
    </w:p>
    <w:p w14:paraId="1B34B5B6" w14:textId="77777777" w:rsidR="00537326" w:rsidRDefault="00537326" w:rsidP="00537326">
      <w:pPr>
        <w:pStyle w:val="Reference"/>
      </w:pPr>
      <w:r w:rsidRPr="00502DE3">
        <w:t xml:space="preserve"> </w:t>
      </w:r>
    </w:p>
    <w:p w14:paraId="502BB5B9" w14:textId="77777777" w:rsidR="00537326" w:rsidRDefault="00537326" w:rsidP="00537326">
      <w:pPr>
        <w:pStyle w:val="Reference"/>
      </w:pPr>
      <w:r w:rsidRPr="00AA11CC">
        <w:t>Adesina O</w:t>
      </w:r>
      <w:r>
        <w:t>,</w:t>
      </w:r>
      <w:r w:rsidRPr="00AA11CC">
        <w:t xml:space="preserve"> ‘Article 9 of the Maputo Protocol </w:t>
      </w:r>
      <w:r>
        <w:t>a</w:t>
      </w:r>
      <w:r w:rsidRPr="00AA11CC">
        <w:t xml:space="preserve">nd </w:t>
      </w:r>
      <w:r>
        <w:t>t</w:t>
      </w:r>
      <w:r w:rsidRPr="00AA11CC">
        <w:t xml:space="preserve">he Advancement </w:t>
      </w:r>
      <w:r>
        <w:t>o</w:t>
      </w:r>
      <w:r w:rsidRPr="00AA11CC">
        <w:t xml:space="preserve">f Political Rights </w:t>
      </w:r>
      <w:r>
        <w:t>f</w:t>
      </w:r>
      <w:r w:rsidRPr="00AA11CC">
        <w:t xml:space="preserve">or Women </w:t>
      </w:r>
      <w:r>
        <w:t>i</w:t>
      </w:r>
      <w:r w:rsidRPr="00AA11CC">
        <w:t xml:space="preserve">n Nigeria’ (2024) AJPSSI African Journal for </w:t>
      </w:r>
      <w:r>
        <w:t>t</w:t>
      </w:r>
      <w:r w:rsidRPr="00AA11CC">
        <w:t>he Psychological Study of Social Issues</w:t>
      </w:r>
      <w:r>
        <w:t>.</w:t>
      </w:r>
      <w:r w:rsidRPr="00AA11CC">
        <w:t xml:space="preserve"> </w:t>
      </w:r>
    </w:p>
    <w:p w14:paraId="37E7534C" w14:textId="77777777" w:rsidR="00537326" w:rsidRDefault="00537326" w:rsidP="00537326">
      <w:pPr>
        <w:pStyle w:val="Reference"/>
      </w:pPr>
    </w:p>
    <w:p w14:paraId="40736353" w14:textId="77777777" w:rsidR="00537326" w:rsidRDefault="00537326" w:rsidP="00537326">
      <w:pPr>
        <w:pStyle w:val="Reference"/>
      </w:pPr>
      <w:r w:rsidRPr="00AA11CC">
        <w:t xml:space="preserve">African Union Gender Policy (REV 2 /Feb 10, 2009) </w:t>
      </w:r>
      <w:r>
        <w:t>&lt;</w:t>
      </w:r>
      <w:hyperlink r:id="rId10" w:history="1">
        <w:r w:rsidRPr="00947664">
          <w:rPr>
            <w:rStyle w:val="Hyperlink"/>
          </w:rPr>
          <w:t>https://www.usip.org/sites/default/files/Gender/African_Union_Gender_Policy_2009.pdf</w:t>
        </w:r>
      </w:hyperlink>
      <w:r>
        <w:t>&gt;</w:t>
      </w:r>
      <w:r w:rsidRPr="00AA11CC">
        <w:t xml:space="preserve"> </w:t>
      </w:r>
      <w:r>
        <w:t>accessed 23 April 2024.</w:t>
      </w:r>
    </w:p>
    <w:p w14:paraId="25B64364" w14:textId="77777777" w:rsidR="00537326" w:rsidRPr="00AA11CC" w:rsidRDefault="00537326" w:rsidP="00537326">
      <w:pPr>
        <w:pStyle w:val="Reference"/>
      </w:pPr>
    </w:p>
    <w:p w14:paraId="5C441DCE" w14:textId="77777777" w:rsidR="00537326" w:rsidRDefault="00537326" w:rsidP="00537326">
      <w:pPr>
        <w:pStyle w:val="Reference"/>
      </w:pPr>
      <w:r w:rsidRPr="00AA11CC">
        <w:t>Amnesty International</w:t>
      </w:r>
      <w:r>
        <w:t>,</w:t>
      </w:r>
      <w:r w:rsidRPr="00AA11CC">
        <w:t xml:space="preserve"> </w:t>
      </w:r>
      <w:r w:rsidRPr="000E5749">
        <w:rPr>
          <w:i/>
          <w:iCs/>
        </w:rPr>
        <w:t>Report 2022/23: The State of The World’s Human Rights</w:t>
      </w:r>
      <w:r w:rsidRPr="00AA11CC">
        <w:t xml:space="preserve"> (2023) 179 </w:t>
      </w:r>
      <w:r>
        <w:t>&lt;</w:t>
      </w:r>
      <w:hyperlink r:id="rId11" w:history="1">
        <w:r w:rsidRPr="00947664">
          <w:rPr>
            <w:rStyle w:val="Hyperlink"/>
          </w:rPr>
          <w:t>https://www.amnesty.org/en/location/africa/report-africa/</w:t>
        </w:r>
      </w:hyperlink>
      <w:r>
        <w:t>&gt; accessed 23 April 2024.</w:t>
      </w:r>
    </w:p>
    <w:p w14:paraId="3C3856CE" w14:textId="77777777" w:rsidR="00537326" w:rsidRDefault="00537326" w:rsidP="00537326">
      <w:pPr>
        <w:pStyle w:val="Reference"/>
      </w:pPr>
    </w:p>
    <w:p w14:paraId="5866F70C" w14:textId="77777777" w:rsidR="00537326" w:rsidRPr="006E65ED" w:rsidRDefault="00537326" w:rsidP="00537326">
      <w:pPr>
        <w:pStyle w:val="Reference"/>
        <w:rPr>
          <w:lang w:val="en-ZA"/>
        </w:rPr>
      </w:pPr>
      <w:r w:rsidRPr="00502DE3">
        <w:t>Association of Progressive Communications</w:t>
      </w:r>
      <w:r>
        <w:t>,</w:t>
      </w:r>
      <w:r w:rsidRPr="00502DE3">
        <w:t xml:space="preserve"> ‘Digital rights are </w:t>
      </w:r>
      <w:r>
        <w:t>W</w:t>
      </w:r>
      <w:r w:rsidRPr="00502DE3">
        <w:t>omen</w:t>
      </w:r>
      <w:r>
        <w:t>’</w:t>
      </w:r>
      <w:r w:rsidRPr="00502DE3">
        <w:t xml:space="preserve">s </w:t>
      </w:r>
      <w:r>
        <w:t>R</w:t>
      </w:r>
      <w:r w:rsidRPr="00502DE3">
        <w:t>ights!</w:t>
      </w:r>
      <w:r>
        <w:t>’</w:t>
      </w:r>
      <w:r w:rsidRPr="00502DE3">
        <w:t xml:space="preserve">  </w:t>
      </w:r>
      <w:r w:rsidRPr="006E65ED">
        <w:rPr>
          <w:lang w:val="en-ZA"/>
        </w:rPr>
        <w:t>(2021) &lt;</w:t>
      </w:r>
      <w:hyperlink r:id="rId12" w:history="1">
        <w:r w:rsidRPr="006E65ED">
          <w:rPr>
            <w:rStyle w:val="Hyperlink"/>
            <w:lang w:val="en-ZA"/>
          </w:rPr>
          <w:t>https://www.apc.org/en/pubs/digital-rights-are-womens-rights</w:t>
        </w:r>
      </w:hyperlink>
      <w:r w:rsidRPr="006E65ED">
        <w:rPr>
          <w:lang w:val="en-ZA"/>
        </w:rPr>
        <w:t>&gt;18 February</w:t>
      </w:r>
      <w:r>
        <w:rPr>
          <w:lang w:val="en-ZA"/>
        </w:rPr>
        <w:t xml:space="preserve"> 2024.</w:t>
      </w:r>
    </w:p>
    <w:p w14:paraId="01207BE1" w14:textId="77777777" w:rsidR="00537326" w:rsidRPr="006E65ED" w:rsidRDefault="00537326" w:rsidP="00537326">
      <w:pPr>
        <w:pStyle w:val="Reference"/>
        <w:rPr>
          <w:lang w:val="en-ZA"/>
        </w:rPr>
      </w:pPr>
    </w:p>
    <w:p w14:paraId="563D0528" w14:textId="77777777" w:rsidR="00537326" w:rsidRPr="00502DE3" w:rsidRDefault="00537326" w:rsidP="00537326">
      <w:pPr>
        <w:pStyle w:val="Reference"/>
      </w:pPr>
      <w:r w:rsidRPr="00502DE3">
        <w:t>Barrigan H</w:t>
      </w:r>
      <w:r>
        <w:t>,</w:t>
      </w:r>
      <w:r w:rsidRPr="00502DE3">
        <w:t xml:space="preserve"> ‘Top 10 Facts About Girls’ Education </w:t>
      </w:r>
      <w:r>
        <w:t>i</w:t>
      </w:r>
      <w:r w:rsidRPr="00502DE3">
        <w:t xml:space="preserve">n Ghana’ (2018) </w:t>
      </w:r>
      <w:r>
        <w:t>&lt;</w:t>
      </w:r>
      <w:hyperlink r:id="rId13" w:history="1">
        <w:r w:rsidRPr="0088243F">
          <w:rPr>
            <w:rStyle w:val="Hyperlink"/>
          </w:rPr>
          <w:t>https://borgenproject.org/top-10-facts-about-girls-education-in-ghana/&gt; 6</w:t>
        </w:r>
      </w:hyperlink>
      <w:r>
        <w:t xml:space="preserve"> February 2024</w:t>
      </w:r>
    </w:p>
    <w:p w14:paraId="7DFBC5FE" w14:textId="77777777" w:rsidR="00537326" w:rsidRDefault="00537326" w:rsidP="00537326">
      <w:pPr>
        <w:pStyle w:val="Reference"/>
      </w:pPr>
    </w:p>
    <w:p w14:paraId="3EE78D3F" w14:textId="77777777" w:rsidR="00537326" w:rsidRDefault="00537326" w:rsidP="00537326">
      <w:pPr>
        <w:pStyle w:val="Reference"/>
      </w:pPr>
      <w:proofErr w:type="spellStart"/>
      <w:r w:rsidRPr="00F60358">
        <w:t>Bessah</w:t>
      </w:r>
      <w:proofErr w:type="spellEnd"/>
      <w:r w:rsidRPr="00F60358">
        <w:t xml:space="preserve"> E</w:t>
      </w:r>
      <w:r>
        <w:t xml:space="preserve">, Raji O, Taiwo J, Ololade O, </w:t>
      </w:r>
      <w:proofErr w:type="spellStart"/>
      <w:r>
        <w:t>Strapasson</w:t>
      </w:r>
      <w:proofErr w:type="spellEnd"/>
      <w:r>
        <w:t xml:space="preserve"> A and Donkor E, </w:t>
      </w:r>
      <w:r w:rsidRPr="00F60358">
        <w:t xml:space="preserve">‘Gender-based </w:t>
      </w:r>
      <w:r>
        <w:t>V</w:t>
      </w:r>
      <w:r w:rsidRPr="00F60358">
        <w:t xml:space="preserve">ariations in the </w:t>
      </w:r>
      <w:r>
        <w:t>P</w:t>
      </w:r>
      <w:r w:rsidRPr="00F60358">
        <w:t xml:space="preserve">erception of </w:t>
      </w:r>
      <w:r>
        <w:t>C</w:t>
      </w:r>
      <w:r w:rsidRPr="00F60358">
        <w:t xml:space="preserve">limate </w:t>
      </w:r>
      <w:r>
        <w:t>C</w:t>
      </w:r>
      <w:r w:rsidRPr="00F60358">
        <w:t xml:space="preserve">hange </w:t>
      </w:r>
      <w:r>
        <w:t>I</w:t>
      </w:r>
      <w:r w:rsidRPr="00F60358">
        <w:t xml:space="preserve">mpact, </w:t>
      </w:r>
      <w:r>
        <w:t>V</w:t>
      </w:r>
      <w:r w:rsidRPr="00F60358">
        <w:t xml:space="preserve">ulnerability, and </w:t>
      </w:r>
      <w:r>
        <w:t>A</w:t>
      </w:r>
      <w:r w:rsidRPr="00F60358">
        <w:t xml:space="preserve">daptation </w:t>
      </w:r>
      <w:r>
        <w:t>S</w:t>
      </w:r>
      <w:r w:rsidRPr="00F60358">
        <w:t xml:space="preserve">trategies in the </w:t>
      </w:r>
      <w:proofErr w:type="spellStart"/>
      <w:r w:rsidRPr="00F60358">
        <w:t>Pra</w:t>
      </w:r>
      <w:proofErr w:type="spellEnd"/>
      <w:r w:rsidRPr="00F60358">
        <w:t xml:space="preserve"> River Basin of Ghana’ (2021) International Journal of Climate Change Strategies and Management</w:t>
      </w:r>
      <w:r>
        <w:t>.</w:t>
      </w:r>
      <w:r w:rsidRPr="00F60358">
        <w:t xml:space="preserve"> </w:t>
      </w:r>
    </w:p>
    <w:p w14:paraId="542279FC" w14:textId="77777777" w:rsidR="00537326" w:rsidRDefault="00537326" w:rsidP="00537326">
      <w:pPr>
        <w:pStyle w:val="Reference"/>
      </w:pPr>
    </w:p>
    <w:p w14:paraId="49AE990E" w14:textId="77777777" w:rsidR="00537326" w:rsidRPr="00F60358" w:rsidRDefault="00537326" w:rsidP="00537326">
      <w:pPr>
        <w:pStyle w:val="Reference"/>
      </w:pPr>
      <w:r w:rsidRPr="00F60358">
        <w:t>Bosak J</w:t>
      </w:r>
      <w:r>
        <w:t xml:space="preserve">, </w:t>
      </w:r>
      <w:proofErr w:type="spellStart"/>
      <w:r>
        <w:t>Eagly</w:t>
      </w:r>
      <w:proofErr w:type="spellEnd"/>
      <w:r>
        <w:t xml:space="preserve"> A, Diekman A and Sczesny S, </w:t>
      </w:r>
      <w:r w:rsidRPr="00F60358">
        <w:t xml:space="preserve">‘Women and </w:t>
      </w:r>
      <w:r>
        <w:t>M</w:t>
      </w:r>
      <w:r w:rsidRPr="00F60358">
        <w:t xml:space="preserve">en of the </w:t>
      </w:r>
      <w:r>
        <w:t>P</w:t>
      </w:r>
      <w:r w:rsidRPr="00F60358">
        <w:t xml:space="preserve">ast, </w:t>
      </w:r>
      <w:r>
        <w:t>P</w:t>
      </w:r>
      <w:r w:rsidRPr="00F60358">
        <w:t xml:space="preserve">resent, and </w:t>
      </w:r>
      <w:r>
        <w:t>F</w:t>
      </w:r>
      <w:r w:rsidRPr="00F60358">
        <w:t xml:space="preserve">uture: Evidence of </w:t>
      </w:r>
      <w:r>
        <w:t>D</w:t>
      </w:r>
      <w:r w:rsidRPr="00F60358">
        <w:t xml:space="preserve">ynamic </w:t>
      </w:r>
      <w:r>
        <w:t>G</w:t>
      </w:r>
      <w:r w:rsidRPr="00F60358">
        <w:t xml:space="preserve">ender </w:t>
      </w:r>
      <w:r>
        <w:t>S</w:t>
      </w:r>
      <w:r w:rsidRPr="00F60358">
        <w:t xml:space="preserve">tereotypes in Ghana’ </w:t>
      </w:r>
      <w:r>
        <w:t>(20</w:t>
      </w:r>
      <w:r w:rsidRPr="00F60358">
        <w:t>1</w:t>
      </w:r>
      <w:r>
        <w:t>7)</w:t>
      </w:r>
      <w:r w:rsidRPr="00F60358">
        <w:t xml:space="preserve"> Journal of Cross-Cultural Psychology</w:t>
      </w:r>
      <w:r>
        <w:t>.</w:t>
      </w:r>
      <w:r w:rsidRPr="00F60358">
        <w:t xml:space="preserve"> </w:t>
      </w:r>
    </w:p>
    <w:p w14:paraId="4A328620" w14:textId="77777777" w:rsidR="00537326" w:rsidRDefault="00537326" w:rsidP="00537326">
      <w:pPr>
        <w:pStyle w:val="Reference"/>
        <w:ind w:left="0" w:firstLine="0"/>
      </w:pPr>
    </w:p>
    <w:p w14:paraId="0F5063E0" w14:textId="7302B122" w:rsidR="00537326" w:rsidRDefault="00537326" w:rsidP="00537326">
      <w:pPr>
        <w:pStyle w:val="Reference"/>
      </w:pPr>
      <w:r w:rsidRPr="00F60358">
        <w:t>Bob-</w:t>
      </w:r>
      <w:proofErr w:type="spellStart"/>
      <w:r w:rsidRPr="00F60358">
        <w:t>Milliar</w:t>
      </w:r>
      <w:proofErr w:type="spellEnd"/>
      <w:r w:rsidRPr="00F60358">
        <w:t xml:space="preserve"> GM</w:t>
      </w:r>
      <w:r>
        <w:t>,</w:t>
      </w:r>
      <w:r w:rsidRPr="00F60358">
        <w:t xml:space="preserve"> ‘Political </w:t>
      </w:r>
      <w:r>
        <w:t>P</w:t>
      </w:r>
      <w:r w:rsidRPr="00F60358">
        <w:t xml:space="preserve">arty </w:t>
      </w:r>
      <w:r>
        <w:t>A</w:t>
      </w:r>
      <w:r w:rsidRPr="00F60358">
        <w:t xml:space="preserve">ctivism in Ghana: Factors </w:t>
      </w:r>
      <w:r>
        <w:t>I</w:t>
      </w:r>
      <w:r w:rsidRPr="00F60358">
        <w:t xml:space="preserve">nfluencing the </w:t>
      </w:r>
      <w:r>
        <w:t>D</w:t>
      </w:r>
      <w:r w:rsidRPr="00F60358">
        <w:t xml:space="preserve">ecision of the </w:t>
      </w:r>
      <w:r>
        <w:t>P</w:t>
      </w:r>
      <w:r w:rsidRPr="00F60358">
        <w:t xml:space="preserve">olitically </w:t>
      </w:r>
      <w:r>
        <w:t>A</w:t>
      </w:r>
      <w:r w:rsidRPr="00F60358">
        <w:t xml:space="preserve">ctive to </w:t>
      </w:r>
      <w:r>
        <w:t>J</w:t>
      </w:r>
      <w:r w:rsidRPr="00F60358">
        <w:t xml:space="preserve">oin a </w:t>
      </w:r>
      <w:r>
        <w:t>P</w:t>
      </w:r>
      <w:r w:rsidRPr="00F60358">
        <w:t xml:space="preserve">olitical </w:t>
      </w:r>
      <w:r>
        <w:t>P</w:t>
      </w:r>
      <w:r w:rsidRPr="00F60358">
        <w:t>arty’ (2012) Democrati</w:t>
      </w:r>
      <w:r>
        <w:t>s</w:t>
      </w:r>
      <w:r w:rsidRPr="00F60358">
        <w:t>ation</w:t>
      </w:r>
      <w:r w:rsidR="00EA0814">
        <w:t xml:space="preserve"> </w:t>
      </w:r>
      <w:r>
        <w:t>&lt;</w:t>
      </w:r>
      <w:hyperlink r:id="rId14" w:history="1">
        <w:r w:rsidR="00DA57DA" w:rsidRPr="002E2752">
          <w:rPr>
            <w:rStyle w:val="Hyperlink"/>
          </w:rPr>
          <w:t>http://dx.doi.org/10.1080/13510347.2011.605998</w:t>
        </w:r>
      </w:hyperlink>
      <w:r>
        <w:rPr>
          <w:rStyle w:val="Hyperlink"/>
        </w:rPr>
        <w:t xml:space="preserve">&gt; accessed 6 February 2024. </w:t>
      </w:r>
    </w:p>
    <w:p w14:paraId="1A145195" w14:textId="77777777" w:rsidR="00537326" w:rsidRPr="00F60358" w:rsidRDefault="00537326" w:rsidP="00537326">
      <w:pPr>
        <w:pStyle w:val="Reference"/>
      </w:pPr>
    </w:p>
    <w:p w14:paraId="188A865E" w14:textId="77777777" w:rsidR="00537326" w:rsidRDefault="00537326" w:rsidP="00537326">
      <w:pPr>
        <w:pStyle w:val="Reference"/>
      </w:pPr>
      <w:r w:rsidRPr="00502DE3">
        <w:lastRenderedPageBreak/>
        <w:t>Burgess D and Desmond T</w:t>
      </w:r>
      <w:r>
        <w:t>,</w:t>
      </w:r>
      <w:r w:rsidRPr="00502DE3">
        <w:t xml:space="preserve"> ‘Women in Ghana: </w:t>
      </w:r>
      <w:r>
        <w:t>P</w:t>
      </w:r>
      <w:r w:rsidRPr="00502DE3">
        <w:t xml:space="preserve">rogress, but </w:t>
      </w:r>
      <w:r>
        <w:t>I</w:t>
      </w:r>
      <w:r w:rsidRPr="00502DE3">
        <w:t xml:space="preserve">mportant </w:t>
      </w:r>
      <w:r>
        <w:t>C</w:t>
      </w:r>
      <w:r w:rsidRPr="00502DE3">
        <w:t xml:space="preserve">hallenges </w:t>
      </w:r>
      <w:r>
        <w:t>R</w:t>
      </w:r>
      <w:r w:rsidRPr="00502DE3">
        <w:t>emain’ (</w:t>
      </w:r>
      <w:r w:rsidRPr="00171569">
        <w:rPr>
          <w:i/>
          <w:iCs/>
        </w:rPr>
        <w:t>The Conversation</w:t>
      </w:r>
      <w:r w:rsidRPr="00502DE3">
        <w:t xml:space="preserve">, 6 March 2020) </w:t>
      </w:r>
      <w:hyperlink r:id="rId15" w:history="1">
        <w:r w:rsidRPr="0088243F">
          <w:rPr>
            <w:rStyle w:val="Hyperlink"/>
          </w:rPr>
          <w:t>https://theconversation.com/women-in-ghana-progress-but-important-challenges-remain-130065</w:t>
        </w:r>
      </w:hyperlink>
      <w:r>
        <w:t>&gt; accessed 2 February 2023.</w:t>
      </w:r>
    </w:p>
    <w:p w14:paraId="15517155" w14:textId="77777777" w:rsidR="00537326" w:rsidRDefault="00537326" w:rsidP="00537326">
      <w:pPr>
        <w:pStyle w:val="Reference"/>
      </w:pPr>
    </w:p>
    <w:p w14:paraId="707591A8" w14:textId="77777777" w:rsidR="00537326" w:rsidRDefault="00537326" w:rsidP="00537326">
      <w:pPr>
        <w:pStyle w:val="Reference"/>
      </w:pPr>
      <w:r w:rsidRPr="00F60358">
        <w:t xml:space="preserve"> Christopherson </w:t>
      </w:r>
      <w:r>
        <w:t xml:space="preserve">K, Yiadom A, Johnson J, Fernando F, Yazid H and Thiemann C, </w:t>
      </w:r>
      <w:r w:rsidRPr="00F60358">
        <w:t>‘Tackling Legal Impediments to Women’s Economic Empowerment (2022) International Monetary Fund paper</w:t>
      </w:r>
      <w:r>
        <w:t>.</w:t>
      </w:r>
    </w:p>
    <w:p w14:paraId="6961DAAE" w14:textId="77777777" w:rsidR="00537326" w:rsidRDefault="00537326" w:rsidP="00537326">
      <w:pPr>
        <w:pStyle w:val="Reference"/>
      </w:pPr>
    </w:p>
    <w:p w14:paraId="6A0F40C4" w14:textId="77777777" w:rsidR="00537326" w:rsidRDefault="00537326" w:rsidP="00537326">
      <w:pPr>
        <w:pStyle w:val="Reference"/>
      </w:pPr>
      <w:r>
        <w:t>Coulibaly N</w:t>
      </w:r>
      <w:r w:rsidRPr="003077B3">
        <w:t>A, ‘The Impact of the Maputo Protocol in Ghana’ in</w:t>
      </w:r>
      <w:r>
        <w:t xml:space="preserve"> S </w:t>
      </w:r>
      <w:proofErr w:type="spellStart"/>
      <w:r w:rsidRPr="003077B3">
        <w:t>Mutambasere</w:t>
      </w:r>
      <w:proofErr w:type="spellEnd"/>
      <w:r>
        <w:t>,</w:t>
      </w:r>
      <w:r w:rsidRPr="003077B3">
        <w:t xml:space="preserve"> </w:t>
      </w:r>
      <w:r>
        <w:t xml:space="preserve">A </w:t>
      </w:r>
      <w:r w:rsidRPr="003077B3">
        <w:t>Budoo</w:t>
      </w:r>
      <w:r>
        <w:t xml:space="preserve"> </w:t>
      </w:r>
      <w:r w:rsidRPr="003077B3">
        <w:t>Scholtz and D</w:t>
      </w:r>
      <w:r>
        <w:t xml:space="preserve"> </w:t>
      </w:r>
      <w:r w:rsidRPr="003077B3">
        <w:t>Murden (eds)</w:t>
      </w:r>
      <w:r>
        <w:t>,</w:t>
      </w:r>
      <w:r w:rsidRPr="003077B3">
        <w:t xml:space="preserve"> </w:t>
      </w:r>
      <w:r w:rsidRPr="008616A2">
        <w:rPr>
          <w:i/>
          <w:iCs/>
        </w:rPr>
        <w:t xml:space="preserve">The Impact of the Maputo Protocol in Selected African States </w:t>
      </w:r>
      <w:r w:rsidRPr="003077B3">
        <w:t>(PULP 2023).</w:t>
      </w:r>
    </w:p>
    <w:p w14:paraId="66348D32" w14:textId="77777777" w:rsidR="00537326" w:rsidRDefault="00537326" w:rsidP="00537326">
      <w:pPr>
        <w:pStyle w:val="Reference"/>
      </w:pPr>
    </w:p>
    <w:p w14:paraId="0919A9E2" w14:textId="77777777" w:rsidR="00537326" w:rsidRDefault="00537326" w:rsidP="00537326">
      <w:pPr>
        <w:pStyle w:val="Reference"/>
      </w:pPr>
      <w:r w:rsidRPr="00D34480">
        <w:t>Darkwah A</w:t>
      </w:r>
      <w:r>
        <w:t>,</w:t>
      </w:r>
      <w:r w:rsidRPr="00D34480">
        <w:t xml:space="preserve"> ‘Education: Pathway to Empowerment for Ghanaian Women?’ IDS Bulletin IDS Bulletin 28</w:t>
      </w:r>
      <w:r>
        <w:t>.</w:t>
      </w:r>
    </w:p>
    <w:p w14:paraId="3896FA1A" w14:textId="77777777" w:rsidR="00537326" w:rsidRDefault="00537326" w:rsidP="00537326">
      <w:pPr>
        <w:pStyle w:val="Reference"/>
      </w:pPr>
    </w:p>
    <w:p w14:paraId="1305775D" w14:textId="77777777" w:rsidR="00537326" w:rsidRDefault="00537326" w:rsidP="00537326">
      <w:pPr>
        <w:pStyle w:val="Reference"/>
      </w:pPr>
      <w:r w:rsidRPr="00F60358">
        <w:t>Devlin C and Robert E</w:t>
      </w:r>
      <w:r>
        <w:t>,</w:t>
      </w:r>
      <w:r w:rsidRPr="00F60358">
        <w:t xml:space="preserve"> ‘The Effect of Increased Women</w:t>
      </w:r>
      <w:r>
        <w:t>’</w:t>
      </w:r>
      <w:r w:rsidRPr="00F60358">
        <w:t xml:space="preserve">s Representation in Parliament: The Case of Rwanda’ (2008) </w:t>
      </w:r>
      <w:r>
        <w:t>Parliamentary Affairs.</w:t>
      </w:r>
      <w:r w:rsidRPr="00F60358">
        <w:t xml:space="preserve"> </w:t>
      </w:r>
    </w:p>
    <w:p w14:paraId="53C0DBF0" w14:textId="77777777" w:rsidR="00537326" w:rsidRDefault="00537326" w:rsidP="00537326">
      <w:pPr>
        <w:pStyle w:val="Reference"/>
      </w:pPr>
    </w:p>
    <w:p w14:paraId="28C26606" w14:textId="77777777" w:rsidR="00537326" w:rsidRDefault="00537326" w:rsidP="00537326">
      <w:pPr>
        <w:pStyle w:val="Reference"/>
      </w:pPr>
      <w:r w:rsidRPr="001B5419">
        <w:t xml:space="preserve">Dickson </w:t>
      </w:r>
      <w:r w:rsidRPr="0005669D">
        <w:t>A</w:t>
      </w:r>
      <w:r>
        <w:t xml:space="preserve"> </w:t>
      </w:r>
      <w:r w:rsidRPr="0005669D">
        <w:t>L</w:t>
      </w:r>
      <w:r>
        <w:t>,</w:t>
      </w:r>
      <w:r w:rsidRPr="0005669D">
        <w:t xml:space="preserve"> </w:t>
      </w:r>
      <w:r>
        <w:t>‘</w:t>
      </w:r>
      <w:r w:rsidRPr="00171569">
        <w:t xml:space="preserve">The Impact of </w:t>
      </w:r>
      <w:r>
        <w:t>t</w:t>
      </w:r>
      <w:r w:rsidRPr="00171569">
        <w:t xml:space="preserve">he Maputo Protocol </w:t>
      </w:r>
      <w:r>
        <w:t>i</w:t>
      </w:r>
      <w:r w:rsidRPr="00171569">
        <w:t>n Nigeria</w:t>
      </w:r>
      <w:r w:rsidRPr="00947664">
        <w:t>,</w:t>
      </w:r>
      <w:r>
        <w:t>’</w:t>
      </w:r>
      <w:r w:rsidRPr="0005669D">
        <w:t xml:space="preserve"> </w:t>
      </w:r>
      <w:r>
        <w:t>i</w:t>
      </w:r>
      <w:r w:rsidRPr="0005669D">
        <w:t xml:space="preserve">n S </w:t>
      </w:r>
      <w:proofErr w:type="spellStart"/>
      <w:r w:rsidRPr="0005669D">
        <w:t>Mutambasere</w:t>
      </w:r>
      <w:proofErr w:type="spellEnd"/>
      <w:r w:rsidRPr="0005669D">
        <w:t>, A Budoo-Scholtz and D Murden (eds)</w:t>
      </w:r>
      <w:r>
        <w:t>,</w:t>
      </w:r>
      <w:r w:rsidRPr="0005669D">
        <w:t xml:space="preserve"> </w:t>
      </w:r>
      <w:r w:rsidRPr="00171569">
        <w:rPr>
          <w:i/>
          <w:iCs/>
        </w:rPr>
        <w:t xml:space="preserve">The </w:t>
      </w:r>
      <w:r>
        <w:rPr>
          <w:i/>
          <w:iCs/>
        </w:rPr>
        <w:t>I</w:t>
      </w:r>
      <w:r w:rsidRPr="00171569">
        <w:rPr>
          <w:i/>
          <w:iCs/>
        </w:rPr>
        <w:t xml:space="preserve">mpact of the Maputo Protocol in </w:t>
      </w:r>
      <w:r>
        <w:rPr>
          <w:i/>
          <w:iCs/>
        </w:rPr>
        <w:t>S</w:t>
      </w:r>
      <w:r w:rsidRPr="00171569">
        <w:rPr>
          <w:i/>
          <w:iCs/>
        </w:rPr>
        <w:t xml:space="preserve">elected African </w:t>
      </w:r>
      <w:r>
        <w:rPr>
          <w:i/>
          <w:iCs/>
        </w:rPr>
        <w:t>S</w:t>
      </w:r>
      <w:r w:rsidRPr="00171569">
        <w:rPr>
          <w:i/>
          <w:iCs/>
        </w:rPr>
        <w:t>tates</w:t>
      </w:r>
      <w:r w:rsidRPr="0005669D">
        <w:t xml:space="preserve"> (</w:t>
      </w:r>
      <w:r>
        <w:t xml:space="preserve">PULP </w:t>
      </w:r>
      <w:r w:rsidRPr="0005669D">
        <w:t>2023)</w:t>
      </w:r>
      <w:r>
        <w:t>.</w:t>
      </w:r>
      <w:r w:rsidRPr="0005669D">
        <w:t xml:space="preserve"> </w:t>
      </w:r>
    </w:p>
    <w:p w14:paraId="44D0B3DE" w14:textId="77777777" w:rsidR="00537326" w:rsidRDefault="00537326" w:rsidP="00537326">
      <w:pPr>
        <w:pStyle w:val="Reference"/>
      </w:pPr>
    </w:p>
    <w:p w14:paraId="159134A0" w14:textId="75835F24" w:rsidR="00537326" w:rsidRDefault="00537326" w:rsidP="00537326">
      <w:pPr>
        <w:pStyle w:val="Reference"/>
      </w:pPr>
      <w:proofErr w:type="spellStart"/>
      <w:r w:rsidRPr="00F60358">
        <w:t>Dowuona</w:t>
      </w:r>
      <w:proofErr w:type="spellEnd"/>
      <w:r w:rsidRPr="00F60358">
        <w:t>-Hammond C, Raymond A</w:t>
      </w:r>
      <w:r>
        <w:t>,</w:t>
      </w:r>
      <w:r w:rsidRPr="00F60358">
        <w:t xml:space="preserve"> and Francis X D T</w:t>
      </w:r>
      <w:r>
        <w:t>,</w:t>
      </w:r>
      <w:r w:rsidRPr="00F60358">
        <w:t xml:space="preserve"> ‘Women’s Survival in Ghana: What Has Law Got to Do with It?’ (2020) </w:t>
      </w:r>
      <w:r>
        <w:t>&lt;</w:t>
      </w:r>
      <w:hyperlink r:id="rId16" w:history="1">
        <w:r w:rsidR="00EA0814" w:rsidRPr="00EA0814">
          <w:rPr>
            <w:rStyle w:val="Hyperlink"/>
          </w:rPr>
          <w:t>https://doi.org/10.1177/2158244020941472</w:t>
        </w:r>
      </w:hyperlink>
      <w:r w:rsidR="00EA0814">
        <w:t>&gt;</w:t>
      </w:r>
      <w:r w:rsidRPr="003675F7">
        <w:t xml:space="preserve"> </w:t>
      </w:r>
    </w:p>
    <w:p w14:paraId="7E9CA3F4" w14:textId="77777777" w:rsidR="00537326" w:rsidRPr="0005669D" w:rsidRDefault="00537326" w:rsidP="00537326">
      <w:pPr>
        <w:pStyle w:val="Reference"/>
      </w:pPr>
    </w:p>
    <w:p w14:paraId="5A4AD2EE" w14:textId="77777777" w:rsidR="00537326" w:rsidRDefault="00537326" w:rsidP="00537326">
      <w:pPr>
        <w:pStyle w:val="Reference"/>
      </w:pPr>
      <w:r w:rsidRPr="002B55FA">
        <w:t xml:space="preserve">Duffy </w:t>
      </w:r>
      <w:r w:rsidRPr="009D23DB">
        <w:t>H</w:t>
      </w:r>
      <w:r w:rsidRPr="0005669D">
        <w:t xml:space="preserve">, </w:t>
      </w:r>
      <w:r w:rsidRPr="00171569">
        <w:rPr>
          <w:i/>
          <w:iCs/>
        </w:rPr>
        <w:t>Strategic Human Rights Litigation – Understanding and Maximizing Impact</w:t>
      </w:r>
      <w:r w:rsidRPr="0005669D">
        <w:t xml:space="preserve"> (Hart Publishing 2018)</w:t>
      </w:r>
      <w:r>
        <w:t>.</w:t>
      </w:r>
    </w:p>
    <w:p w14:paraId="038AE814" w14:textId="77777777" w:rsidR="00537326" w:rsidRDefault="00537326" w:rsidP="00537326">
      <w:pPr>
        <w:pStyle w:val="Reference"/>
      </w:pPr>
    </w:p>
    <w:p w14:paraId="02F60529" w14:textId="77777777" w:rsidR="00537326" w:rsidRPr="006E65ED" w:rsidRDefault="00537326" w:rsidP="00537326">
      <w:pPr>
        <w:pStyle w:val="Reference"/>
        <w:rPr>
          <w:lang w:val="en-ZA"/>
        </w:rPr>
      </w:pPr>
      <w:proofErr w:type="spellStart"/>
      <w:r w:rsidRPr="00502DE3">
        <w:t>Duraiappah</w:t>
      </w:r>
      <w:proofErr w:type="spellEnd"/>
      <w:r w:rsidRPr="00502DE3">
        <w:t xml:space="preserve"> </w:t>
      </w:r>
      <w:r>
        <w:t xml:space="preserve">A K </w:t>
      </w:r>
      <w:r w:rsidRPr="00502DE3">
        <w:t>and Naeem</w:t>
      </w:r>
      <w:r>
        <w:t xml:space="preserve"> S,</w:t>
      </w:r>
      <w:r w:rsidRPr="00502DE3">
        <w:t xml:space="preserve"> ‘Ecosystems and Human Well-being: Biodiversity Synthesis. Millennium Ecosystem Assessment.’ (2005) World Resources Institute </w:t>
      </w:r>
      <w:r w:rsidRPr="006E65ED">
        <w:rPr>
          <w:lang w:val="en-ZA"/>
        </w:rPr>
        <w:t>&lt;</w:t>
      </w:r>
      <w:hyperlink r:id="rId17" w:history="1">
        <w:r w:rsidRPr="006E65ED">
          <w:rPr>
            <w:rStyle w:val="Hyperlink"/>
            <w:lang w:val="en-ZA"/>
          </w:rPr>
          <w:t>https://www.millenniumassessment.org/documents/document.354.aspx.pdf</w:t>
        </w:r>
      </w:hyperlink>
      <w:r w:rsidRPr="006E65ED">
        <w:rPr>
          <w:lang w:val="en-ZA"/>
        </w:rPr>
        <w:t>&gt; 7 February 2</w:t>
      </w:r>
      <w:r>
        <w:rPr>
          <w:lang w:val="en-ZA"/>
        </w:rPr>
        <w:t>024.</w:t>
      </w:r>
    </w:p>
    <w:p w14:paraId="3330AAB8" w14:textId="77777777" w:rsidR="00537326" w:rsidRPr="00D412A7" w:rsidRDefault="00537326" w:rsidP="00537326">
      <w:pPr>
        <w:pStyle w:val="Reference"/>
        <w:rPr>
          <w:lang w:val="en-ZA"/>
        </w:rPr>
      </w:pPr>
    </w:p>
    <w:p w14:paraId="6D1230DB" w14:textId="77777777" w:rsidR="00537326" w:rsidRDefault="00537326" w:rsidP="00537326">
      <w:pPr>
        <w:pStyle w:val="Reference"/>
      </w:pPr>
      <w:proofErr w:type="spellStart"/>
      <w:r w:rsidRPr="002B55FA">
        <w:t>Dzah</w:t>
      </w:r>
      <w:proofErr w:type="spellEnd"/>
      <w:r w:rsidRPr="002B55FA">
        <w:t xml:space="preserve"> </w:t>
      </w:r>
      <w:r w:rsidRPr="009D23DB">
        <w:t>G</w:t>
      </w:r>
      <w:r>
        <w:t>,</w:t>
      </w:r>
      <w:r w:rsidRPr="009D23DB">
        <w:t xml:space="preserve"> </w:t>
      </w:r>
      <w:r>
        <w:t>‘</w:t>
      </w:r>
      <w:r w:rsidRPr="00171569">
        <w:t>Transcending Dualism: Deconstructing Colonial Vestiges in Ghana’s Treaty Law and Practice</w:t>
      </w:r>
      <w:r>
        <w:t>’</w:t>
      </w:r>
      <w:r w:rsidRPr="00947664">
        <w:t xml:space="preserve"> </w:t>
      </w:r>
      <w:r>
        <w:t>i</w:t>
      </w:r>
      <w:r w:rsidRPr="0005669D">
        <w:t xml:space="preserve">n M Addaney, MG Nyarko </w:t>
      </w:r>
      <w:r>
        <w:t xml:space="preserve">and </w:t>
      </w:r>
      <w:r w:rsidRPr="0005669D">
        <w:t>E Boshoff (eds)</w:t>
      </w:r>
      <w:r>
        <w:t>,</w:t>
      </w:r>
      <w:r w:rsidRPr="0005669D">
        <w:t xml:space="preserve"> </w:t>
      </w:r>
      <w:r w:rsidRPr="00171569">
        <w:rPr>
          <w:i/>
          <w:iCs/>
        </w:rPr>
        <w:t xml:space="preserve">Governance, Human Rights and Political Transformation in Africa </w:t>
      </w:r>
      <w:r w:rsidRPr="0005669D">
        <w:t>(</w:t>
      </w:r>
      <w:r>
        <w:t xml:space="preserve">Palgrave </w:t>
      </w:r>
      <w:r w:rsidRPr="0005669D">
        <w:t>2020)</w:t>
      </w:r>
      <w:r>
        <w:t>.</w:t>
      </w:r>
    </w:p>
    <w:p w14:paraId="6DE9347F" w14:textId="77777777" w:rsidR="00537326" w:rsidRDefault="00537326" w:rsidP="00537326">
      <w:pPr>
        <w:pStyle w:val="Reference"/>
      </w:pPr>
    </w:p>
    <w:p w14:paraId="268FDE8E" w14:textId="77777777" w:rsidR="00537326" w:rsidRDefault="00537326" w:rsidP="00537326">
      <w:pPr>
        <w:pStyle w:val="Reference"/>
      </w:pPr>
      <w:r w:rsidRPr="00F60358">
        <w:t>Fuchs G</w:t>
      </w:r>
      <w:r>
        <w:t>,</w:t>
      </w:r>
      <w:r w:rsidRPr="00F60358">
        <w:t xml:space="preserve"> ‘Using </w:t>
      </w:r>
      <w:r>
        <w:t>S</w:t>
      </w:r>
      <w:r w:rsidRPr="00F60358">
        <w:t xml:space="preserve">trategic </w:t>
      </w:r>
      <w:r>
        <w:t>L</w:t>
      </w:r>
      <w:r w:rsidRPr="00F60358">
        <w:t xml:space="preserve">itigation for </w:t>
      </w:r>
      <w:r>
        <w:t>W</w:t>
      </w:r>
      <w:r w:rsidRPr="00F60358">
        <w:t xml:space="preserve">omen’s </w:t>
      </w:r>
      <w:r>
        <w:t>R</w:t>
      </w:r>
      <w:r w:rsidRPr="00F60358">
        <w:t xml:space="preserve">ights: Political </w:t>
      </w:r>
      <w:r>
        <w:t>R</w:t>
      </w:r>
      <w:r w:rsidRPr="00F60358">
        <w:t xml:space="preserve">estrictions in Poland and </w:t>
      </w:r>
      <w:r>
        <w:t>A</w:t>
      </w:r>
      <w:r w:rsidRPr="00F60358">
        <w:t xml:space="preserve">chievements of the </w:t>
      </w:r>
      <w:r>
        <w:t>W</w:t>
      </w:r>
      <w:r w:rsidRPr="00F60358">
        <w:t xml:space="preserve">omen’s </w:t>
      </w:r>
      <w:r>
        <w:t>M</w:t>
      </w:r>
      <w:r w:rsidRPr="00F60358">
        <w:t>ovement’ (2021) European Journal of Women’s Studies</w:t>
      </w:r>
      <w:r>
        <w:t>.</w:t>
      </w:r>
      <w:r w:rsidRPr="00F60358">
        <w:t xml:space="preserve"> </w:t>
      </w:r>
    </w:p>
    <w:p w14:paraId="7859AF25" w14:textId="77777777" w:rsidR="00537326" w:rsidRDefault="00537326" w:rsidP="005D6DC3">
      <w:pPr>
        <w:pStyle w:val="Reference"/>
      </w:pPr>
    </w:p>
    <w:p w14:paraId="23A11C2C" w14:textId="77777777" w:rsidR="00537326" w:rsidRDefault="00537326" w:rsidP="00537326">
      <w:pPr>
        <w:pStyle w:val="Reference"/>
      </w:pPr>
      <w:r w:rsidRPr="00AA11CC">
        <w:t>Georgetown Institute for Women, Peace and Security</w:t>
      </w:r>
      <w:r>
        <w:t>,</w:t>
      </w:r>
      <w:r w:rsidRPr="00AA11CC">
        <w:t xml:space="preserve"> ‘Women and Climate Change Impact and Agency in Human Rights, Security, and Economic Development’ (2015) </w:t>
      </w:r>
      <w:r>
        <w:t>&lt;</w:t>
      </w:r>
      <w:hyperlink r:id="rId18" w:history="1">
        <w:r w:rsidRPr="00947664">
          <w:rPr>
            <w:rStyle w:val="Hyperlink"/>
          </w:rPr>
          <w:t>https://giwps.georgetown.edu/wp-content/uploads/2017/09/Women-and-Climate-Change.pdf</w:t>
        </w:r>
      </w:hyperlink>
      <w:r>
        <w:t>&gt;</w:t>
      </w:r>
      <w:r w:rsidRPr="003675F7">
        <w:t xml:space="preserve"> accessed 26 April 2024.</w:t>
      </w:r>
    </w:p>
    <w:p w14:paraId="76C29607" w14:textId="77777777" w:rsidR="00537326" w:rsidRDefault="00537326" w:rsidP="00537326">
      <w:pPr>
        <w:pStyle w:val="Reference"/>
      </w:pPr>
    </w:p>
    <w:p w14:paraId="220286C7" w14:textId="2A63BA4C" w:rsidR="00537326" w:rsidRPr="00502DE3" w:rsidRDefault="00537326" w:rsidP="00537326">
      <w:pPr>
        <w:pStyle w:val="Reference"/>
      </w:pPr>
      <w:r>
        <w:lastRenderedPageBreak/>
        <w:t>‘</w:t>
      </w:r>
      <w:r w:rsidRPr="00502DE3">
        <w:t xml:space="preserve">Ghana - Ratio of </w:t>
      </w:r>
      <w:r>
        <w:t>G</w:t>
      </w:r>
      <w:r w:rsidRPr="00502DE3">
        <w:t xml:space="preserve">irls to </w:t>
      </w:r>
      <w:r>
        <w:t>B</w:t>
      </w:r>
      <w:r w:rsidRPr="00502DE3">
        <w:t xml:space="preserve">oys in </w:t>
      </w:r>
      <w:r>
        <w:t>P</w:t>
      </w:r>
      <w:r w:rsidRPr="00502DE3">
        <w:t xml:space="preserve">rimary and </w:t>
      </w:r>
      <w:r>
        <w:t>S</w:t>
      </w:r>
      <w:r w:rsidRPr="00502DE3">
        <w:t xml:space="preserve">econdary </w:t>
      </w:r>
      <w:r>
        <w:t>E</w:t>
      </w:r>
      <w:r w:rsidRPr="00502DE3">
        <w:t xml:space="preserve">ducation School </w:t>
      </w:r>
      <w:r>
        <w:t>E</w:t>
      </w:r>
      <w:r w:rsidRPr="00502DE3">
        <w:t xml:space="preserve">nrolment, </w:t>
      </w:r>
      <w:r>
        <w:t>P</w:t>
      </w:r>
      <w:r w:rsidRPr="00502DE3">
        <w:t xml:space="preserve">rimary and </w:t>
      </w:r>
      <w:r>
        <w:t>S</w:t>
      </w:r>
      <w:r w:rsidRPr="00502DE3">
        <w:t xml:space="preserve">econdary (gross), </w:t>
      </w:r>
      <w:r>
        <w:t>G</w:t>
      </w:r>
      <w:r w:rsidRPr="00502DE3">
        <w:t xml:space="preserve">ender </w:t>
      </w:r>
      <w:r>
        <w:t>P</w:t>
      </w:r>
      <w:r w:rsidRPr="00502DE3">
        <w:t xml:space="preserve">arity </w:t>
      </w:r>
      <w:r>
        <w:t>I</w:t>
      </w:r>
      <w:r w:rsidRPr="00502DE3">
        <w:t>ndex</w:t>
      </w:r>
      <w:r>
        <w:t>’</w:t>
      </w:r>
      <w:r w:rsidRPr="00502DE3">
        <w:t xml:space="preserve"> (GPI, 28 December 2020) </w:t>
      </w:r>
      <w:r>
        <w:t>&lt;</w:t>
      </w:r>
      <w:r w:rsidRPr="00502DE3">
        <w:t>https://www.indexmundi.com/facts/ghana/ratio-of-girls-to-boys-in-primary-and-secondary-education</w:t>
      </w:r>
      <w:r>
        <w:t>&gt;</w:t>
      </w:r>
      <w:r w:rsidRPr="00502DE3">
        <w:t xml:space="preserve"> </w:t>
      </w:r>
      <w:r>
        <w:t>accessed 6 February</w:t>
      </w:r>
      <w:r w:rsidR="00DA57DA">
        <w:t xml:space="preserve"> 2024</w:t>
      </w:r>
      <w:r>
        <w:t>.</w:t>
      </w:r>
    </w:p>
    <w:p w14:paraId="55F93A10" w14:textId="77777777" w:rsidR="00537326" w:rsidRPr="00F60358" w:rsidRDefault="00537326" w:rsidP="00537326">
      <w:pPr>
        <w:pStyle w:val="Reference"/>
      </w:pPr>
    </w:p>
    <w:p w14:paraId="55355360" w14:textId="77777777" w:rsidR="00537326" w:rsidRDefault="00537326" w:rsidP="00537326">
      <w:pPr>
        <w:pStyle w:val="Reference"/>
      </w:pPr>
      <w:proofErr w:type="spellStart"/>
      <w:r w:rsidRPr="00AA11CC">
        <w:t>Gumedze</w:t>
      </w:r>
      <w:proofErr w:type="spellEnd"/>
      <w:r w:rsidRPr="00AA11CC">
        <w:t xml:space="preserve"> S, ‘Bringing </w:t>
      </w:r>
      <w:r>
        <w:t>C</w:t>
      </w:r>
      <w:r w:rsidRPr="00AA11CC">
        <w:t>ommunications before the African Commission on Human and Peoples’ Rights’ (2003) African Human Rights Law Journal.</w:t>
      </w:r>
    </w:p>
    <w:p w14:paraId="79CC625D" w14:textId="77777777" w:rsidR="00537326" w:rsidRDefault="00537326" w:rsidP="00537326">
      <w:pPr>
        <w:pStyle w:val="Reference"/>
      </w:pPr>
    </w:p>
    <w:p w14:paraId="30E6777B" w14:textId="77777777" w:rsidR="00537326" w:rsidRDefault="00537326" w:rsidP="00537326">
      <w:pPr>
        <w:pStyle w:val="Reference"/>
      </w:pPr>
      <w:proofErr w:type="spellStart"/>
      <w:r w:rsidRPr="00715ED9">
        <w:t>Gyekye-Jandoh</w:t>
      </w:r>
      <w:proofErr w:type="spellEnd"/>
      <w:r>
        <w:t xml:space="preserve"> A,</w:t>
      </w:r>
      <w:r w:rsidRPr="00715ED9">
        <w:t xml:space="preserve"> ‘Gender in Ghanaian Politics: A Brief Analysis’ (Australian Institute of International Affairs, 24 November 2021) </w:t>
      </w:r>
      <w:r>
        <w:t>&lt;</w:t>
      </w:r>
      <w:r w:rsidRPr="00715ED9">
        <w:t>https://www.internationalaffairs.org.au/australianoutlook/gender-ghanaian-politics-brief-analysis/</w:t>
      </w:r>
      <w:r>
        <w:t>&gt;</w:t>
      </w:r>
      <w:r w:rsidRPr="003675F7">
        <w:t xml:space="preserve"> accessed 14 February 2024.</w:t>
      </w:r>
    </w:p>
    <w:p w14:paraId="14828087" w14:textId="77777777" w:rsidR="00537326" w:rsidRDefault="00537326" w:rsidP="00537326">
      <w:pPr>
        <w:pStyle w:val="Reference"/>
      </w:pPr>
    </w:p>
    <w:p w14:paraId="6D898286" w14:textId="77777777" w:rsidR="00537326" w:rsidRDefault="00537326" w:rsidP="00537326">
      <w:pPr>
        <w:pStyle w:val="Reference"/>
      </w:pPr>
      <w:r w:rsidRPr="00D34480">
        <w:t xml:space="preserve">Higgins </w:t>
      </w:r>
      <w:r>
        <w:t xml:space="preserve">T </w:t>
      </w:r>
      <w:r w:rsidRPr="00D34480">
        <w:t>and J Fenrich</w:t>
      </w:r>
      <w:r>
        <w:t>,</w:t>
      </w:r>
      <w:r w:rsidRPr="00D34480">
        <w:t xml:space="preserve"> ‘Legal Pluralism, Gender, And Access to Land </w:t>
      </w:r>
      <w:r>
        <w:t>i</w:t>
      </w:r>
      <w:r w:rsidRPr="00D34480">
        <w:t>n Ghana’ (2012) Fordham Environmental Law Review</w:t>
      </w:r>
      <w:r>
        <w:t>.</w:t>
      </w:r>
    </w:p>
    <w:p w14:paraId="4F613375" w14:textId="77777777" w:rsidR="00537326" w:rsidRDefault="00537326" w:rsidP="00537326">
      <w:pPr>
        <w:pStyle w:val="Reference"/>
      </w:pPr>
    </w:p>
    <w:p w14:paraId="5EFFF52E" w14:textId="77777777" w:rsidR="00537326" w:rsidRDefault="00537326" w:rsidP="00537326">
      <w:pPr>
        <w:pStyle w:val="Reference"/>
      </w:pPr>
      <w:r w:rsidRPr="00AA11CC">
        <w:t>Hannan C</w:t>
      </w:r>
      <w:r>
        <w:t>,</w:t>
      </w:r>
      <w:r w:rsidRPr="00AA11CC">
        <w:t xml:space="preserve"> ‘The Role of ICT Policy in Empowering and Protecting the Rights of the Girl Child’ Parallel event at the Fifty-first session of the Commission on the Status of Women (5 March 2007) </w:t>
      </w:r>
      <w:r>
        <w:t>&lt;</w:t>
      </w:r>
      <w:r w:rsidRPr="00AA11CC">
        <w:t>https://www.un.org/womenwatch/daw/csw/csw51/statements/CH/UNITAR%20ICT%20event.pdf</w:t>
      </w:r>
      <w:r>
        <w:t>&gt;</w:t>
      </w:r>
      <w:r w:rsidRPr="003675F7">
        <w:t xml:space="preserve"> accessed 26 April 2024.</w:t>
      </w:r>
    </w:p>
    <w:p w14:paraId="1C6DD236" w14:textId="77777777" w:rsidR="00537326" w:rsidRDefault="00537326" w:rsidP="00537326">
      <w:pPr>
        <w:pStyle w:val="Reference"/>
      </w:pPr>
    </w:p>
    <w:p w14:paraId="3C2615B1" w14:textId="77777777" w:rsidR="00537326" w:rsidRDefault="00537326" w:rsidP="00537326">
      <w:pPr>
        <w:pStyle w:val="Reference"/>
      </w:pPr>
      <w:r w:rsidRPr="00502DE3">
        <w:t>International Institute for Capacity Building in Africa Ghana</w:t>
      </w:r>
      <w:r>
        <w:t>,</w:t>
      </w:r>
      <w:r w:rsidRPr="00502DE3">
        <w:t xml:space="preserve"> </w:t>
      </w:r>
      <w:r>
        <w:t>‘</w:t>
      </w:r>
      <w:r w:rsidRPr="00502DE3">
        <w:t>Education Country Brief</w:t>
      </w:r>
      <w:r>
        <w:t>’</w:t>
      </w:r>
      <w:r w:rsidRPr="00502DE3">
        <w:t xml:space="preserve"> (2024) </w:t>
      </w:r>
      <w:r>
        <w:t>&lt;</w:t>
      </w:r>
      <w:hyperlink r:id="rId19" w:anchor=":~:text=According%20to%20the%20World%20Bank,79%25%20for%20girls%20in%202019" w:history="1">
        <w:r w:rsidRPr="00947664">
          <w:rPr>
            <w:rStyle w:val="Hyperlink"/>
          </w:rPr>
          <w:t>https://www.iicba.unesco.org/en/node/100#:~:text=According%20to%20the%20World%20Bank,79%25%20for%20girls%20in%202019</w:t>
        </w:r>
      </w:hyperlink>
      <w:r>
        <w:t>&gt;accessed 13 April 2024.</w:t>
      </w:r>
    </w:p>
    <w:p w14:paraId="1C1B0A5C" w14:textId="77777777" w:rsidR="00537326" w:rsidRDefault="00537326" w:rsidP="00537326">
      <w:pPr>
        <w:pStyle w:val="Reference"/>
      </w:pPr>
    </w:p>
    <w:p w14:paraId="546923D8" w14:textId="77777777" w:rsidR="00537326" w:rsidRDefault="00537326" w:rsidP="00537326">
      <w:pPr>
        <w:pStyle w:val="Reference"/>
      </w:pPr>
      <w:proofErr w:type="spellStart"/>
      <w:r w:rsidRPr="00502DE3">
        <w:t>Kaledzi</w:t>
      </w:r>
      <w:proofErr w:type="spellEnd"/>
      <w:r w:rsidRPr="00502DE3">
        <w:t xml:space="preserve"> I</w:t>
      </w:r>
      <w:r>
        <w:t>,</w:t>
      </w:r>
      <w:r w:rsidRPr="00502DE3">
        <w:t xml:space="preserve"> ‘Opinion: Make </w:t>
      </w:r>
      <w:r>
        <w:t>S</w:t>
      </w:r>
      <w:r w:rsidRPr="00502DE3">
        <w:t xml:space="preserve">anitary </w:t>
      </w:r>
      <w:r>
        <w:t>P</w:t>
      </w:r>
      <w:r w:rsidRPr="00502DE3">
        <w:t xml:space="preserve">ads </w:t>
      </w:r>
      <w:r>
        <w:t>Z</w:t>
      </w:r>
      <w:r w:rsidRPr="00502DE3">
        <w:t xml:space="preserve">ero </w:t>
      </w:r>
      <w:r>
        <w:t>T</w:t>
      </w:r>
      <w:r w:rsidRPr="00502DE3">
        <w:t xml:space="preserve">ax in Ghana‘ </w:t>
      </w:r>
      <w:r w:rsidRPr="00171569">
        <w:rPr>
          <w:i/>
          <w:iCs/>
        </w:rPr>
        <w:t>Africa Feeds</w:t>
      </w:r>
      <w:r w:rsidRPr="00502DE3">
        <w:t xml:space="preserve"> </w:t>
      </w:r>
      <w:r>
        <w:t xml:space="preserve">(Accra, </w:t>
      </w:r>
      <w:r w:rsidRPr="00502DE3">
        <w:t xml:space="preserve">7 November 2018) </w:t>
      </w:r>
      <w:r>
        <w:t>&lt;</w:t>
      </w:r>
      <w:hyperlink r:id="rId20" w:history="1">
        <w:r w:rsidRPr="00947664">
          <w:rPr>
            <w:rStyle w:val="Hyperlink"/>
          </w:rPr>
          <w:t>https://africafeeds.com/2018/11/07/opinion-make-sanitary-pads-zero-tax-in-ghana/</w:t>
        </w:r>
      </w:hyperlink>
      <w:r>
        <w:t xml:space="preserve">&gt; 6 accessed February 2024. </w:t>
      </w:r>
    </w:p>
    <w:p w14:paraId="6090E6B0" w14:textId="77777777" w:rsidR="00537326" w:rsidRDefault="00537326" w:rsidP="00537326">
      <w:pPr>
        <w:pStyle w:val="Reference"/>
      </w:pPr>
    </w:p>
    <w:p w14:paraId="31EEEA3F" w14:textId="77777777" w:rsidR="00537326" w:rsidRDefault="00537326" w:rsidP="00537326">
      <w:pPr>
        <w:pStyle w:val="Reference"/>
      </w:pPr>
      <w:r w:rsidRPr="00F60358">
        <w:t>King E and AM Hill</w:t>
      </w:r>
      <w:r>
        <w:t>,</w:t>
      </w:r>
      <w:r w:rsidRPr="00F60358">
        <w:t xml:space="preserve"> ‘Women’s Education in Developing Countries: Barriers, Benefits and Policies’ (1995) The Journal of Developing Areas</w:t>
      </w:r>
      <w:r>
        <w:t>.</w:t>
      </w:r>
      <w:r w:rsidRPr="00F60358">
        <w:t xml:space="preserve"> </w:t>
      </w:r>
    </w:p>
    <w:p w14:paraId="359D337A" w14:textId="77777777" w:rsidR="00537326" w:rsidRDefault="00537326" w:rsidP="00537326">
      <w:pPr>
        <w:pStyle w:val="Reference"/>
      </w:pPr>
    </w:p>
    <w:p w14:paraId="6ACC98D3" w14:textId="77777777" w:rsidR="00537326" w:rsidRDefault="00537326" w:rsidP="00537326">
      <w:pPr>
        <w:pStyle w:val="Reference"/>
      </w:pPr>
      <w:r w:rsidRPr="009B1E4D">
        <w:t xml:space="preserve">Kodzo </w:t>
      </w:r>
      <w:r>
        <w:t xml:space="preserve">A and </w:t>
      </w:r>
      <w:proofErr w:type="spellStart"/>
      <w:r w:rsidRPr="00CC1003">
        <w:t>Kludze</w:t>
      </w:r>
      <w:proofErr w:type="spellEnd"/>
      <w:r>
        <w:t xml:space="preserve"> P</w:t>
      </w:r>
      <w:r w:rsidRPr="00F60358">
        <w:t xml:space="preserve">, ‘Constitutional Rights and </w:t>
      </w:r>
      <w:r>
        <w:t>t</w:t>
      </w:r>
      <w:r w:rsidRPr="00F60358">
        <w:t>heir Relationship with International Human Rights in Ghana’ (2008) Israel Law Review</w:t>
      </w:r>
      <w:r>
        <w:t>.</w:t>
      </w:r>
    </w:p>
    <w:p w14:paraId="460FB7C2" w14:textId="77777777" w:rsidR="00537326" w:rsidRPr="00F60358" w:rsidRDefault="00537326" w:rsidP="00537326">
      <w:pPr>
        <w:pStyle w:val="Reference"/>
      </w:pPr>
    </w:p>
    <w:p w14:paraId="640976E6" w14:textId="77777777" w:rsidR="00537326" w:rsidRDefault="00537326" w:rsidP="00537326">
      <w:pPr>
        <w:pStyle w:val="Reference"/>
      </w:pPr>
      <w:r w:rsidRPr="00F60358">
        <w:t>Kwabena AE, Kwamena S D and Kenneth S A</w:t>
      </w:r>
      <w:r>
        <w:t>,</w:t>
      </w:r>
      <w:r w:rsidRPr="00F60358">
        <w:t xml:space="preserve"> ‘Are Ghanaian </w:t>
      </w:r>
      <w:r>
        <w:t>W</w:t>
      </w:r>
      <w:r w:rsidRPr="00F60358">
        <w:t xml:space="preserve">omen </w:t>
      </w:r>
      <w:r>
        <w:t>M</w:t>
      </w:r>
      <w:r w:rsidRPr="00F60358">
        <w:t xml:space="preserve">eeting the WHO </w:t>
      </w:r>
      <w:r>
        <w:t>R</w:t>
      </w:r>
      <w:r w:rsidRPr="00F60358">
        <w:t xml:space="preserve">ecommended </w:t>
      </w:r>
      <w:r>
        <w:t>M</w:t>
      </w:r>
      <w:r w:rsidRPr="00F60358">
        <w:t xml:space="preserve">aternal </w:t>
      </w:r>
      <w:r>
        <w:t>H</w:t>
      </w:r>
      <w:r w:rsidRPr="00F60358">
        <w:t xml:space="preserve">ealthcare (MCH) </w:t>
      </w:r>
      <w:r>
        <w:t>U</w:t>
      </w:r>
      <w:r w:rsidRPr="00F60358">
        <w:t xml:space="preserve">tilisation? Evidence from a </w:t>
      </w:r>
      <w:r>
        <w:t>N</w:t>
      </w:r>
      <w:r w:rsidRPr="00F60358">
        <w:t xml:space="preserve">ational </w:t>
      </w:r>
      <w:r>
        <w:t>S</w:t>
      </w:r>
      <w:r w:rsidRPr="00F60358">
        <w:t>urvey’ (2021) BMC Pregnancy Childbirth</w:t>
      </w:r>
      <w:r>
        <w:t>.</w:t>
      </w:r>
      <w:r w:rsidRPr="00F60358">
        <w:t xml:space="preserve"> </w:t>
      </w:r>
    </w:p>
    <w:p w14:paraId="5A234532" w14:textId="77777777" w:rsidR="00537326" w:rsidRDefault="00537326" w:rsidP="00537326">
      <w:pPr>
        <w:pStyle w:val="Reference"/>
      </w:pPr>
    </w:p>
    <w:p w14:paraId="162281BB" w14:textId="77777777" w:rsidR="00537326" w:rsidRDefault="00537326" w:rsidP="00537326">
      <w:pPr>
        <w:pStyle w:val="Reference"/>
      </w:pPr>
      <w:r w:rsidRPr="00502DE3">
        <w:t>Kwami J</w:t>
      </w:r>
      <w:r>
        <w:t>,</w:t>
      </w:r>
      <w:r w:rsidRPr="00502DE3">
        <w:t xml:space="preserve"> ‘Gendered Digital Inequities in African Contexts: Measuring and Bridging the Gaps’ (2021) A Journal of Gender New Media and Technology </w:t>
      </w:r>
      <w:r>
        <w:t>&lt;</w:t>
      </w:r>
      <w:r w:rsidRPr="00502DE3">
        <w:t>DOI: 10.5399/</w:t>
      </w:r>
      <w:proofErr w:type="spellStart"/>
      <w:r w:rsidRPr="00502DE3">
        <w:t>uo</w:t>
      </w:r>
      <w:proofErr w:type="spellEnd"/>
      <w:r w:rsidRPr="00502DE3">
        <w:t xml:space="preserve">/ada.2020.16.5 1,4 </w:t>
      </w:r>
      <w:hyperlink r:id="rId21" w:history="1">
        <w:r w:rsidRPr="00566379">
          <w:rPr>
            <w:rStyle w:val="Hyperlink"/>
          </w:rPr>
          <w:t>https://scholarsbank.uoregon.edu/xmlui/handle/1794/26828</w:t>
        </w:r>
      </w:hyperlink>
      <w:r>
        <w:t>&gt;</w:t>
      </w:r>
      <w:r w:rsidRPr="003675F7">
        <w:t xml:space="preserve"> accessed 14 February 2024.</w:t>
      </w:r>
    </w:p>
    <w:p w14:paraId="44D7B25C" w14:textId="77777777" w:rsidR="00537326" w:rsidRDefault="00537326" w:rsidP="00537326">
      <w:pPr>
        <w:pStyle w:val="Reference"/>
      </w:pPr>
    </w:p>
    <w:p w14:paraId="21E23B94" w14:textId="2DAB5CAB" w:rsidR="00537326" w:rsidRDefault="00537326" w:rsidP="00537326">
      <w:pPr>
        <w:pStyle w:val="Reference"/>
      </w:pPr>
      <w:r w:rsidRPr="00502DE3">
        <w:t>Lambrou Y and Grazia P</w:t>
      </w:r>
      <w:r>
        <w:t>,</w:t>
      </w:r>
      <w:r w:rsidRPr="00502DE3">
        <w:t xml:space="preserve"> ‘Energy and Gender Issues in Rural Sustainable Development</w:t>
      </w:r>
      <w:r>
        <w:t>’</w:t>
      </w:r>
      <w:r w:rsidRPr="00502DE3">
        <w:t xml:space="preserve"> </w:t>
      </w:r>
      <w:r>
        <w:t>(</w:t>
      </w:r>
      <w:r w:rsidRPr="00502DE3">
        <w:t>Food and Agriculture Organization of the United Nations</w:t>
      </w:r>
      <w:r>
        <w:t xml:space="preserve"> 2006) &lt;</w:t>
      </w:r>
      <w:hyperlink r:id="rId22" w:history="1">
        <w:r w:rsidRPr="00947664">
          <w:rPr>
            <w:rStyle w:val="Hyperlink"/>
          </w:rPr>
          <w:t>ftp://ftp.fao.org/docrep/fao/010/ai021e/ai021e00.pdf</w:t>
        </w:r>
      </w:hyperlink>
      <w:r>
        <w:t>&gt;</w:t>
      </w:r>
      <w:r w:rsidRPr="003675F7">
        <w:t xml:space="preserve"> accessed 7 February 2024</w:t>
      </w:r>
    </w:p>
    <w:p w14:paraId="7F147387" w14:textId="77777777" w:rsidR="00537326" w:rsidRDefault="00537326" w:rsidP="00537326">
      <w:pPr>
        <w:pStyle w:val="Reference"/>
      </w:pPr>
    </w:p>
    <w:p w14:paraId="4EA10F48" w14:textId="77777777" w:rsidR="00537326" w:rsidRDefault="00537326" w:rsidP="00537326">
      <w:pPr>
        <w:pStyle w:val="Reference"/>
      </w:pPr>
      <w:r w:rsidRPr="00F60358">
        <w:t>Leduc A</w:t>
      </w:r>
      <w:r>
        <w:t>,</w:t>
      </w:r>
      <w:r w:rsidRPr="00F60358">
        <w:t xml:space="preserve"> ‘Strategic Alliances as an Impact Litigation Model: Lessons from the </w:t>
      </w:r>
      <w:proofErr w:type="spellStart"/>
      <w:r w:rsidRPr="00F60358">
        <w:t>Sepur</w:t>
      </w:r>
      <w:proofErr w:type="spellEnd"/>
      <w:r w:rsidRPr="00F60358">
        <w:t xml:space="preserve"> Zarco Human Rights Case in Guatemala’ </w:t>
      </w:r>
      <w:r>
        <w:t xml:space="preserve">(2018) </w:t>
      </w:r>
      <w:r w:rsidRPr="00F60358">
        <w:t>Willamette Journal of International Law and Dispute Resolution.</w:t>
      </w:r>
    </w:p>
    <w:p w14:paraId="13D42622" w14:textId="77777777" w:rsidR="00537326" w:rsidRPr="0005669D" w:rsidRDefault="00537326" w:rsidP="00537326">
      <w:pPr>
        <w:pStyle w:val="Reference"/>
      </w:pPr>
    </w:p>
    <w:p w14:paraId="4CC7AC2F" w14:textId="77777777" w:rsidR="00537326" w:rsidRDefault="00537326" w:rsidP="00537326">
      <w:pPr>
        <w:pStyle w:val="Reference"/>
      </w:pPr>
      <w:r w:rsidRPr="0005669D">
        <w:t>Madsen</w:t>
      </w:r>
      <w:r>
        <w:t xml:space="preserve"> </w:t>
      </w:r>
      <w:r w:rsidRPr="0005669D">
        <w:t>DH</w:t>
      </w:r>
      <w:r>
        <w:t>,</w:t>
      </w:r>
      <w:r w:rsidRPr="0005669D">
        <w:t xml:space="preserve"> </w:t>
      </w:r>
      <w:r>
        <w:t>‘</w:t>
      </w:r>
      <w:r w:rsidRPr="0005669D">
        <w:t xml:space="preserve">Affirmative </w:t>
      </w:r>
      <w:r>
        <w:t>A</w:t>
      </w:r>
      <w:r w:rsidRPr="0005669D">
        <w:t xml:space="preserve">ction in Ghana? Patriarchal </w:t>
      </w:r>
      <w:r>
        <w:t>A</w:t>
      </w:r>
      <w:r w:rsidRPr="0005669D">
        <w:t xml:space="preserve">rguments and </w:t>
      </w:r>
      <w:r>
        <w:t>I</w:t>
      </w:r>
      <w:r w:rsidRPr="0005669D">
        <w:t xml:space="preserve">nstitutional </w:t>
      </w:r>
      <w:r>
        <w:t>I</w:t>
      </w:r>
      <w:r w:rsidRPr="0005669D">
        <w:t>nertia, 219</w:t>
      </w:r>
      <w:r>
        <w:t>’</w:t>
      </w:r>
      <w:r w:rsidRPr="0005669D">
        <w:t xml:space="preserve"> </w:t>
      </w:r>
      <w:r>
        <w:t>i</w:t>
      </w:r>
      <w:r w:rsidRPr="0005669D">
        <w:t xml:space="preserve">n Madsen DH (ed), </w:t>
      </w:r>
      <w:r w:rsidRPr="00171569">
        <w:rPr>
          <w:i/>
          <w:iCs/>
        </w:rPr>
        <w:t xml:space="preserve">Gendered Institutions and Women’s Political Representation in Africa </w:t>
      </w:r>
      <w:r w:rsidRPr="0005669D">
        <w:t>(The Nordic Africa Institute 2020)</w:t>
      </w:r>
      <w:r>
        <w:t>.</w:t>
      </w:r>
    </w:p>
    <w:p w14:paraId="23256C01" w14:textId="77777777" w:rsidR="00537326" w:rsidRDefault="00537326" w:rsidP="00537326">
      <w:pPr>
        <w:pStyle w:val="Reference"/>
      </w:pPr>
    </w:p>
    <w:p w14:paraId="6DAD2F89" w14:textId="77777777" w:rsidR="00537326" w:rsidRDefault="00537326" w:rsidP="00537326">
      <w:pPr>
        <w:pStyle w:val="Reference"/>
      </w:pPr>
      <w:r w:rsidRPr="00F60358">
        <w:t>Madsen DH, ‘Gender, Power and Institutional Change – The Role of Formal and Informal Institutions in Promoting Women’s Political Representation in Ghana’ (2019) 1 Journal of Asian and African Studies</w:t>
      </w:r>
      <w:r>
        <w:t>.</w:t>
      </w:r>
    </w:p>
    <w:p w14:paraId="28059E6C" w14:textId="77777777" w:rsidR="00537326" w:rsidRDefault="00537326" w:rsidP="00537326">
      <w:pPr>
        <w:pStyle w:val="Reference"/>
      </w:pPr>
    </w:p>
    <w:p w14:paraId="7A9B4E40" w14:textId="4CBEC812" w:rsidR="00537326" w:rsidRDefault="00537326" w:rsidP="00537326">
      <w:pPr>
        <w:pStyle w:val="Reference"/>
      </w:pPr>
      <w:r w:rsidRPr="00502DE3">
        <w:t>Reinhart C</w:t>
      </w:r>
      <w:r>
        <w:t>,</w:t>
      </w:r>
      <w:r w:rsidRPr="00502DE3">
        <w:t xml:space="preserve"> </w:t>
      </w:r>
      <w:r>
        <w:t>‘</w:t>
      </w:r>
      <w:r w:rsidRPr="00502DE3">
        <w:t>Related: Statement on International Women’s Day</w:t>
      </w:r>
      <w:r>
        <w:t>’</w:t>
      </w:r>
      <w:r w:rsidRPr="00502DE3">
        <w:t xml:space="preserve"> </w:t>
      </w:r>
      <w:r>
        <w:t>(</w:t>
      </w:r>
      <w:r w:rsidRPr="00502DE3">
        <w:t xml:space="preserve">1 March 2022) </w:t>
      </w:r>
      <w:r>
        <w:t>&lt;</w:t>
      </w:r>
      <w:hyperlink r:id="rId23" w:history="1">
        <w:r w:rsidRPr="00F0571C">
          <w:rPr>
            <w:rStyle w:val="Hyperlink"/>
          </w:rPr>
          <w:t>https://www.worldbank.org/en/news/press-release/2022/03/01/nearly-2-4-billion-women-globally-don-t-have-same-economic-rights-as-men</w:t>
        </w:r>
      </w:hyperlink>
      <w:r>
        <w:t>&gt;</w:t>
      </w:r>
      <w:r w:rsidRPr="003675F7">
        <w:t xml:space="preserve"> accessed 19 February 2024</w:t>
      </w:r>
      <w:r w:rsidR="00DA57DA">
        <w:t>.</w:t>
      </w:r>
    </w:p>
    <w:p w14:paraId="3315F638" w14:textId="77777777" w:rsidR="00537326" w:rsidRDefault="00537326" w:rsidP="00537326">
      <w:pPr>
        <w:pStyle w:val="Reference"/>
      </w:pPr>
    </w:p>
    <w:p w14:paraId="6C939DAE" w14:textId="013AEDBB" w:rsidR="00537326" w:rsidRDefault="00537326" w:rsidP="00537326">
      <w:pPr>
        <w:pStyle w:val="Reference"/>
      </w:pPr>
      <w:r w:rsidRPr="00502DE3">
        <w:t>Sasu DS</w:t>
      </w:r>
      <w:r>
        <w:t>,</w:t>
      </w:r>
      <w:r w:rsidRPr="00502DE3">
        <w:t xml:space="preserve"> ‘Share of </w:t>
      </w:r>
      <w:r>
        <w:t>L</w:t>
      </w:r>
      <w:r w:rsidRPr="00502DE3">
        <w:t xml:space="preserve">abour </w:t>
      </w:r>
      <w:r>
        <w:t>F</w:t>
      </w:r>
      <w:r w:rsidRPr="00502DE3">
        <w:t xml:space="preserve">orce in Ghana 2020, </w:t>
      </w:r>
      <w:r>
        <w:t>B</w:t>
      </w:r>
      <w:r w:rsidRPr="00502DE3">
        <w:t xml:space="preserve">y </w:t>
      </w:r>
      <w:r>
        <w:t>G</w:t>
      </w:r>
      <w:r w:rsidRPr="00502DE3">
        <w:t xml:space="preserve">ender’ (Statista, 12 December 2022) </w:t>
      </w:r>
      <w:r>
        <w:t>&lt;</w:t>
      </w:r>
      <w:r w:rsidRPr="00502DE3">
        <w:t>https://www.statista.com/statistics/1264009/labor-force-distribution-by-gender-in-ghana/</w:t>
      </w:r>
      <w:r>
        <w:t>&gt;</w:t>
      </w:r>
      <w:r w:rsidRPr="003675F7">
        <w:t xml:space="preserve"> accessed 4 February 2024</w:t>
      </w:r>
      <w:r w:rsidR="00DA57DA">
        <w:t>.</w:t>
      </w:r>
    </w:p>
    <w:p w14:paraId="76150628" w14:textId="77777777" w:rsidR="00537326" w:rsidRDefault="00537326" w:rsidP="00537326">
      <w:pPr>
        <w:pStyle w:val="Reference"/>
      </w:pPr>
    </w:p>
    <w:p w14:paraId="1F9A26BE" w14:textId="77777777" w:rsidR="00537326" w:rsidRDefault="00537326" w:rsidP="00537326">
      <w:pPr>
        <w:pStyle w:val="Reference"/>
      </w:pPr>
      <w:proofErr w:type="spellStart"/>
      <w:r w:rsidRPr="00AA11CC">
        <w:t>Segkulu</w:t>
      </w:r>
      <w:proofErr w:type="spellEnd"/>
      <w:r w:rsidRPr="00AA11CC">
        <w:t xml:space="preserve"> L K</w:t>
      </w:r>
      <w:r>
        <w:t>,</w:t>
      </w:r>
      <w:r w:rsidRPr="00AA11CC">
        <w:t xml:space="preserve"> ‘Women in Educational Leadership within the Tamale Metropolis Journal of Education and Practice’ (2016) Journal of Education and Practice</w:t>
      </w:r>
      <w:r>
        <w:t>.</w:t>
      </w:r>
    </w:p>
    <w:p w14:paraId="77CD0463" w14:textId="77777777" w:rsidR="00537326" w:rsidRDefault="00537326" w:rsidP="00537326">
      <w:pPr>
        <w:pStyle w:val="Reference"/>
      </w:pPr>
    </w:p>
    <w:p w14:paraId="0F2E411B" w14:textId="4B9ED6CA" w:rsidR="00537326" w:rsidRDefault="00537326" w:rsidP="00537326">
      <w:pPr>
        <w:pStyle w:val="Reference"/>
      </w:pPr>
      <w:r w:rsidRPr="00502DE3">
        <w:t>Neltoft CL</w:t>
      </w:r>
      <w:r>
        <w:t>,</w:t>
      </w:r>
      <w:r w:rsidRPr="00502DE3">
        <w:t xml:space="preserve"> ‘Girls’ </w:t>
      </w:r>
      <w:r>
        <w:t>E</w:t>
      </w:r>
      <w:r w:rsidRPr="00502DE3">
        <w:t xml:space="preserve">ducation in Ghana: </w:t>
      </w:r>
      <w:r>
        <w:t>F</w:t>
      </w:r>
      <w:r w:rsidRPr="00502DE3">
        <w:t xml:space="preserve">ighting </w:t>
      </w:r>
      <w:r>
        <w:t>B</w:t>
      </w:r>
      <w:r w:rsidRPr="00502DE3">
        <w:t xml:space="preserve">arriers </w:t>
      </w:r>
      <w:r>
        <w:t>B</w:t>
      </w:r>
      <w:r w:rsidRPr="00502DE3">
        <w:t xml:space="preserve">eyond </w:t>
      </w:r>
      <w:r>
        <w:t>G</w:t>
      </w:r>
      <w:r w:rsidRPr="00502DE3">
        <w:t xml:space="preserve">ender </w:t>
      </w:r>
      <w:r>
        <w:t>P</w:t>
      </w:r>
      <w:r w:rsidRPr="00502DE3">
        <w:t xml:space="preserve">arity’ (GEP Transformation Education October 07, 2021) </w:t>
      </w:r>
      <w:r>
        <w:t>&lt;</w:t>
      </w:r>
      <w:hyperlink r:id="rId24" w:history="1">
        <w:r w:rsidRPr="00DA57DA">
          <w:rPr>
            <w:rStyle w:val="Hyperlink"/>
          </w:rPr>
          <w:t>https://www.globalpartnership.org/blog/girls-education-ghana-fighting-barriers-beyond-gender-parity</w:t>
        </w:r>
      </w:hyperlink>
      <w:r>
        <w:t>&gt;</w:t>
      </w:r>
      <w:r w:rsidRPr="00397E59">
        <w:t xml:space="preserve"> accessed 3 February 2023.</w:t>
      </w:r>
    </w:p>
    <w:p w14:paraId="7C845516" w14:textId="77777777" w:rsidR="00537326" w:rsidRPr="0005669D" w:rsidRDefault="00537326" w:rsidP="00537326">
      <w:pPr>
        <w:pStyle w:val="Reference"/>
      </w:pPr>
    </w:p>
    <w:p w14:paraId="7BC13A9A" w14:textId="77777777" w:rsidR="00537326" w:rsidRDefault="00537326" w:rsidP="00537326">
      <w:pPr>
        <w:pStyle w:val="Reference"/>
      </w:pPr>
      <w:r w:rsidRPr="006879E6">
        <w:t xml:space="preserve">Nyarko </w:t>
      </w:r>
      <w:r w:rsidRPr="0005669D">
        <w:t>MG</w:t>
      </w:r>
      <w:r>
        <w:t>,</w:t>
      </w:r>
      <w:r w:rsidRPr="0005669D">
        <w:t xml:space="preserve"> </w:t>
      </w:r>
      <w:r>
        <w:t>‘</w:t>
      </w:r>
      <w:r w:rsidRPr="00171569">
        <w:t>The Impact of the African Charter and Maputo Protocol in Ghana</w:t>
      </w:r>
      <w:r>
        <w:t>’</w:t>
      </w:r>
      <w:r w:rsidRPr="0005669D">
        <w:t xml:space="preserve"> </w:t>
      </w:r>
      <w:r>
        <w:t>i</w:t>
      </w:r>
      <w:r w:rsidRPr="0005669D">
        <w:t>n Victor Ayeni</w:t>
      </w:r>
      <w:r>
        <w:t xml:space="preserve"> (ed),</w:t>
      </w:r>
      <w:r w:rsidRPr="0005669D">
        <w:t xml:space="preserve"> </w:t>
      </w:r>
      <w:r w:rsidRPr="00171569">
        <w:rPr>
          <w:i/>
          <w:iCs/>
        </w:rPr>
        <w:t xml:space="preserve">The </w:t>
      </w:r>
      <w:r>
        <w:rPr>
          <w:i/>
          <w:iCs/>
        </w:rPr>
        <w:t>I</w:t>
      </w:r>
      <w:r w:rsidRPr="00171569">
        <w:rPr>
          <w:i/>
          <w:iCs/>
        </w:rPr>
        <w:t xml:space="preserve">mpact of the African Charter and the Maputo Protocol in </w:t>
      </w:r>
      <w:r>
        <w:rPr>
          <w:i/>
          <w:iCs/>
        </w:rPr>
        <w:t>S</w:t>
      </w:r>
      <w:r w:rsidRPr="00171569">
        <w:rPr>
          <w:i/>
          <w:iCs/>
        </w:rPr>
        <w:t xml:space="preserve">elected African </w:t>
      </w:r>
      <w:r>
        <w:rPr>
          <w:i/>
          <w:iCs/>
        </w:rPr>
        <w:t>S</w:t>
      </w:r>
      <w:r w:rsidRPr="00171569">
        <w:rPr>
          <w:i/>
          <w:iCs/>
        </w:rPr>
        <w:t>tates</w:t>
      </w:r>
      <w:r w:rsidRPr="0005669D">
        <w:t xml:space="preserve"> </w:t>
      </w:r>
      <w:r>
        <w:t>(</w:t>
      </w:r>
      <w:r w:rsidRPr="0005669D">
        <w:t xml:space="preserve">Pretoria University Law Press 2016). </w:t>
      </w:r>
    </w:p>
    <w:p w14:paraId="3EF231D6" w14:textId="77777777" w:rsidR="00537326" w:rsidRDefault="00537326" w:rsidP="00537326">
      <w:pPr>
        <w:pStyle w:val="Reference"/>
      </w:pPr>
    </w:p>
    <w:p w14:paraId="6C6EBD60" w14:textId="77777777" w:rsidR="00537326" w:rsidRPr="009304A3" w:rsidRDefault="00537326" w:rsidP="00537326">
      <w:pPr>
        <w:pStyle w:val="Reference"/>
        <w:rPr>
          <w:lang w:val="en-ZA"/>
        </w:rPr>
      </w:pPr>
      <w:r w:rsidRPr="00715ED9">
        <w:t>Nuamah AS</w:t>
      </w:r>
      <w:r>
        <w:t>,</w:t>
      </w:r>
      <w:r w:rsidRPr="00715ED9">
        <w:t xml:space="preserve"> ‘On the International Day of the Girl, it’s a </w:t>
      </w:r>
      <w:r>
        <w:t>G</w:t>
      </w:r>
      <w:r w:rsidRPr="00715ED9">
        <w:t xml:space="preserve">ood </w:t>
      </w:r>
      <w:r>
        <w:t>T</w:t>
      </w:r>
      <w:r w:rsidRPr="00715ED9">
        <w:t xml:space="preserve">ime to </w:t>
      </w:r>
      <w:r>
        <w:t>A</w:t>
      </w:r>
      <w:r w:rsidRPr="00715ED9">
        <w:t xml:space="preserve">sk: Are </w:t>
      </w:r>
      <w:r>
        <w:t>G</w:t>
      </w:r>
      <w:r w:rsidRPr="00715ED9">
        <w:t xml:space="preserve">irls </w:t>
      </w:r>
      <w:r>
        <w:t>S</w:t>
      </w:r>
      <w:r w:rsidRPr="00715ED9">
        <w:t xml:space="preserve">afe in </w:t>
      </w:r>
      <w:r>
        <w:t>S</w:t>
      </w:r>
      <w:r w:rsidRPr="00715ED9">
        <w:t>chools?’ (</w:t>
      </w:r>
      <w:r w:rsidRPr="00171569">
        <w:rPr>
          <w:i/>
          <w:iCs/>
        </w:rPr>
        <w:t>The Washington Post</w:t>
      </w:r>
      <w:r w:rsidRPr="00715ED9">
        <w:t xml:space="preserve">, </w:t>
      </w:r>
      <w:r>
        <w:t xml:space="preserve">11 </w:t>
      </w:r>
      <w:r w:rsidRPr="00715ED9">
        <w:t>October 2018)</w:t>
      </w:r>
      <w:r>
        <w:t>.</w:t>
      </w:r>
      <w:r w:rsidRPr="00715ED9">
        <w:t xml:space="preserve"> </w:t>
      </w:r>
      <w:r>
        <w:t>&lt;</w:t>
      </w:r>
      <w:hyperlink r:id="rId25" w:history="1">
        <w:r w:rsidRPr="0088243F">
          <w:rPr>
            <w:rStyle w:val="Hyperlink"/>
            <w:lang w:val="en-ZA"/>
          </w:rPr>
          <w:t>https://www.washingtonpost.com/news/monkey-cage/wp/2018/10/11/on-the-international-day-of-the-girl-its-a-good-time-to-ask-are-girls-safe-in-schools/</w:t>
        </w:r>
      </w:hyperlink>
      <w:r>
        <w:rPr>
          <w:lang w:val="en-ZA"/>
        </w:rPr>
        <w:t xml:space="preserve">&gt; accessed </w:t>
      </w:r>
      <w:r w:rsidRPr="009304A3">
        <w:rPr>
          <w:lang w:val="en-ZA"/>
        </w:rPr>
        <w:t xml:space="preserve"> 6 February</w:t>
      </w:r>
      <w:r>
        <w:rPr>
          <w:lang w:val="en-ZA"/>
        </w:rPr>
        <w:t xml:space="preserve"> 2024. </w:t>
      </w:r>
    </w:p>
    <w:p w14:paraId="6F63F585" w14:textId="77777777" w:rsidR="00537326" w:rsidRPr="009304A3" w:rsidRDefault="00537326" w:rsidP="00537326">
      <w:pPr>
        <w:pStyle w:val="Reference"/>
        <w:rPr>
          <w:lang w:val="en-ZA"/>
        </w:rPr>
      </w:pPr>
    </w:p>
    <w:p w14:paraId="68CEF403" w14:textId="33BDB30C" w:rsidR="00537326" w:rsidRDefault="00537326" w:rsidP="00537326">
      <w:pPr>
        <w:pStyle w:val="Reference"/>
      </w:pPr>
      <w:r w:rsidRPr="00715ED9">
        <w:t>Mensah-</w:t>
      </w:r>
      <w:proofErr w:type="spellStart"/>
      <w:r w:rsidRPr="00715ED9">
        <w:t>Kutin</w:t>
      </w:r>
      <w:proofErr w:type="spellEnd"/>
      <w:r w:rsidRPr="00715ED9">
        <w:t xml:space="preserve"> R</w:t>
      </w:r>
      <w:r>
        <w:t>,</w:t>
      </w:r>
      <w:r w:rsidRPr="00715ED9">
        <w:t xml:space="preserve"> ‘Case Study: Gender, Human Security and Climate Change in Ghana’ (2008) </w:t>
      </w:r>
      <w:r>
        <w:t>&lt;</w:t>
      </w:r>
      <w:hyperlink r:id="rId26" w:history="1">
        <w:r w:rsidRPr="00DA57DA">
          <w:rPr>
            <w:rStyle w:val="Hyperlink"/>
          </w:rPr>
          <w:t>https://wedo.org/wp-content/uploads/ghana-case-study.pdf</w:t>
        </w:r>
      </w:hyperlink>
      <w:r>
        <w:t>&gt;</w:t>
      </w:r>
      <w:r w:rsidRPr="003675F7">
        <w:t xml:space="preserve"> accessed 12 February 2024</w:t>
      </w:r>
    </w:p>
    <w:p w14:paraId="66740B4D" w14:textId="77777777" w:rsidR="00537326" w:rsidRDefault="00537326" w:rsidP="00537326">
      <w:pPr>
        <w:pStyle w:val="Reference"/>
      </w:pPr>
    </w:p>
    <w:p w14:paraId="0CE27E9D" w14:textId="77777777" w:rsidR="00537326" w:rsidRDefault="00537326" w:rsidP="00537326">
      <w:pPr>
        <w:pStyle w:val="Reference"/>
      </w:pPr>
      <w:r w:rsidRPr="00AA11CC">
        <w:t xml:space="preserve">OECD, </w:t>
      </w:r>
      <w:r>
        <w:t>‘</w:t>
      </w:r>
      <w:r w:rsidRPr="00AA11CC">
        <w:t>Advancing Gender Balance in the Workforce: A Collective Responsibility: Gender Balance Network, Forum on Tax Administration</w:t>
      </w:r>
      <w:r>
        <w:t>.’(2020)</w:t>
      </w:r>
      <w:r w:rsidRPr="00AA11CC">
        <w:t xml:space="preserve"> </w:t>
      </w:r>
      <w:r>
        <w:t>&lt;</w:t>
      </w:r>
      <w:hyperlink r:id="rId27" w:history="1">
        <w:r w:rsidRPr="00F0571C">
          <w:rPr>
            <w:rStyle w:val="Hyperlink"/>
          </w:rPr>
          <w:t>www.oecd.org/tax/forum-on-tax-administration/publications-and-products/advancing-gender-balance-in-theworkforce-a-collective-responsibility.htm</w:t>
        </w:r>
      </w:hyperlink>
      <w:r>
        <w:t>&gt;</w:t>
      </w:r>
      <w:r w:rsidRPr="003675F7">
        <w:t xml:space="preserve"> accessed 16 April 2024.</w:t>
      </w:r>
    </w:p>
    <w:p w14:paraId="68200741" w14:textId="77777777" w:rsidR="00537326" w:rsidRDefault="00537326" w:rsidP="00537326">
      <w:pPr>
        <w:pStyle w:val="Reference"/>
      </w:pPr>
    </w:p>
    <w:p w14:paraId="2FC327A0" w14:textId="03672E39" w:rsidR="00537326" w:rsidRDefault="00537326" w:rsidP="00537326">
      <w:pPr>
        <w:pStyle w:val="Reference"/>
      </w:pPr>
      <w:r w:rsidRPr="00715ED9">
        <w:lastRenderedPageBreak/>
        <w:t>Plan International</w:t>
      </w:r>
      <w:r>
        <w:t>,</w:t>
      </w:r>
      <w:r w:rsidRPr="00715ED9">
        <w:t xml:space="preserve"> ‘4 </w:t>
      </w:r>
      <w:r>
        <w:t>S</w:t>
      </w:r>
      <w:r w:rsidRPr="00715ED9">
        <w:t xml:space="preserve">teps to </w:t>
      </w:r>
      <w:r>
        <w:t>A</w:t>
      </w:r>
      <w:r w:rsidRPr="00715ED9">
        <w:t xml:space="preserve">dvance </w:t>
      </w:r>
      <w:r>
        <w:t>D</w:t>
      </w:r>
      <w:r w:rsidRPr="00715ED9">
        <w:t xml:space="preserve">igital </w:t>
      </w:r>
      <w:r>
        <w:t>E</w:t>
      </w:r>
      <w:r w:rsidRPr="00715ED9">
        <w:t xml:space="preserve">quality for </w:t>
      </w:r>
      <w:r>
        <w:t>G</w:t>
      </w:r>
      <w:r w:rsidRPr="00715ED9">
        <w:t xml:space="preserve">irls’ (2018) </w:t>
      </w:r>
      <w:r>
        <w:t>&lt;</w:t>
      </w:r>
      <w:hyperlink r:id="rId28" w:history="1">
        <w:r w:rsidRPr="00DA57DA">
          <w:rPr>
            <w:rStyle w:val="Hyperlink"/>
          </w:rPr>
          <w:t>https://plan-international.org/case-studies/4-steps-to-advance-digital-equality-for-girls/</w:t>
        </w:r>
      </w:hyperlink>
      <w:r>
        <w:t>&gt;</w:t>
      </w:r>
      <w:r w:rsidRPr="003675F7">
        <w:t xml:space="preserve"> accessed 14 February 2024.</w:t>
      </w:r>
    </w:p>
    <w:p w14:paraId="6CD3E4E3" w14:textId="77777777" w:rsidR="00537326" w:rsidRDefault="00537326" w:rsidP="00537326">
      <w:pPr>
        <w:pStyle w:val="Reference"/>
      </w:pPr>
    </w:p>
    <w:p w14:paraId="1800C869" w14:textId="77777777" w:rsidR="00537326" w:rsidRDefault="00537326" w:rsidP="00537326">
      <w:pPr>
        <w:pStyle w:val="Reference"/>
      </w:pPr>
      <w:r w:rsidRPr="00AA11CC">
        <w:t>The World Bank</w:t>
      </w:r>
      <w:r>
        <w:t>,</w:t>
      </w:r>
      <w:r w:rsidRPr="00AA11CC">
        <w:t xml:space="preserve"> ‘Ghana: Gender Data Portal’ </w:t>
      </w:r>
      <w:r>
        <w:t>&lt;</w:t>
      </w:r>
      <w:hyperlink r:id="rId29" w:history="1">
        <w:r w:rsidRPr="00F0571C">
          <w:rPr>
            <w:rStyle w:val="Hyperlink"/>
          </w:rPr>
          <w:t>https://genderdata.worldbank.org/countries/ghana/</w:t>
        </w:r>
      </w:hyperlink>
      <w:r>
        <w:t>&gt;</w:t>
      </w:r>
      <w:r w:rsidRPr="003675F7">
        <w:t xml:space="preserve"> accessed 16 April 2024.</w:t>
      </w:r>
    </w:p>
    <w:p w14:paraId="71152601" w14:textId="77777777" w:rsidR="00537326" w:rsidRDefault="00537326" w:rsidP="00537326">
      <w:pPr>
        <w:pStyle w:val="Reference"/>
      </w:pPr>
    </w:p>
    <w:p w14:paraId="535FE79A" w14:textId="77777777" w:rsidR="00537326" w:rsidRDefault="00537326" w:rsidP="00537326">
      <w:pPr>
        <w:pStyle w:val="Reference"/>
      </w:pPr>
      <w:r w:rsidRPr="00AA11CC">
        <w:t>The Commission on Human Rights and Administrative Justice (CHRAJ)</w:t>
      </w:r>
      <w:r>
        <w:t>,</w:t>
      </w:r>
      <w:r w:rsidRPr="00AA11CC">
        <w:t xml:space="preserve"> </w:t>
      </w:r>
      <w:r w:rsidRPr="000E5749">
        <w:rPr>
          <w:i/>
          <w:iCs/>
        </w:rPr>
        <w:t>Baseline Study Report on Access to Justice and Gender Based Violence Against Elderly Women Alleged As Witches in Ghana A Research Project by the Commission on Human Rights and Administrative Justice (CHRAJ)</w:t>
      </w:r>
      <w:r>
        <w:rPr>
          <w:i/>
          <w:iCs/>
        </w:rPr>
        <w:t xml:space="preserve"> </w:t>
      </w:r>
      <w:r w:rsidRPr="00AA11CC">
        <w:t xml:space="preserve"> </w:t>
      </w:r>
      <w:r>
        <w:t>(2022) &lt;</w:t>
      </w:r>
      <w:hyperlink r:id="rId30" w:history="1">
        <w:r w:rsidRPr="00F0571C">
          <w:rPr>
            <w:rStyle w:val="Hyperlink"/>
          </w:rPr>
          <w:t>https://chraj.gov.gh/wp-content/uploads/2022/05/Baseline-Study-Report-Access-to-Justice-Project.pdf</w:t>
        </w:r>
      </w:hyperlink>
      <w:r>
        <w:t>&gt; accessed 23 April 2024.</w:t>
      </w:r>
    </w:p>
    <w:p w14:paraId="2144E6E0" w14:textId="77777777" w:rsidR="00537326" w:rsidRDefault="00537326" w:rsidP="00537326">
      <w:pPr>
        <w:pStyle w:val="Reference"/>
      </w:pPr>
    </w:p>
    <w:p w14:paraId="6B59D060" w14:textId="1B1233B4" w:rsidR="00537326" w:rsidRPr="00734F13" w:rsidRDefault="00537326" w:rsidP="00537326">
      <w:pPr>
        <w:pStyle w:val="Reference"/>
      </w:pPr>
      <w:r w:rsidRPr="00715ED9">
        <w:t>Tobin S</w:t>
      </w:r>
      <w:r>
        <w:t>,</w:t>
      </w:r>
      <w:r w:rsidRPr="00715ED9">
        <w:t xml:space="preserve"> ‘What </w:t>
      </w:r>
      <w:r>
        <w:t>C</w:t>
      </w:r>
      <w:r w:rsidRPr="00715ED9">
        <w:t xml:space="preserve">auses </w:t>
      </w:r>
      <w:r>
        <w:t>G</w:t>
      </w:r>
      <w:r w:rsidRPr="00715ED9">
        <w:t xml:space="preserve">ender </w:t>
      </w:r>
      <w:r>
        <w:t>G</w:t>
      </w:r>
      <w:r w:rsidRPr="00715ED9">
        <w:t xml:space="preserve">aps in the </w:t>
      </w:r>
      <w:r>
        <w:t>L</w:t>
      </w:r>
      <w:r w:rsidRPr="00715ED9">
        <w:t xml:space="preserve">abour </w:t>
      </w:r>
      <w:r>
        <w:t>M</w:t>
      </w:r>
      <w:r w:rsidRPr="00715ED9">
        <w:t xml:space="preserve">arket?’ </w:t>
      </w:r>
      <w:r w:rsidRPr="00734F13">
        <w:t>(2017) &lt;</w:t>
      </w:r>
      <w:hyperlink r:id="rId31" w:history="1">
        <w:r w:rsidRPr="00DA57DA">
          <w:rPr>
            <w:rStyle w:val="Hyperlink"/>
          </w:rPr>
          <w:t>https://www.ilo.org/global/about-the-ilo/newsroom/news/WCMS_566891/lang--en/index.htm</w:t>
        </w:r>
      </w:hyperlink>
      <w:r w:rsidRPr="00734F13">
        <w:t>&gt;</w:t>
      </w:r>
      <w:r w:rsidRPr="003675F7">
        <w:t xml:space="preserve"> accessed 18 February 2024.</w:t>
      </w:r>
    </w:p>
    <w:p w14:paraId="6F9BEB22" w14:textId="77777777" w:rsidR="00537326" w:rsidRPr="00734F13" w:rsidRDefault="00537326" w:rsidP="00537326">
      <w:pPr>
        <w:pStyle w:val="Reference"/>
      </w:pPr>
    </w:p>
    <w:p w14:paraId="4B9865B8" w14:textId="74852DE1" w:rsidR="00537326" w:rsidRDefault="00537326" w:rsidP="00537326">
      <w:pPr>
        <w:pStyle w:val="Reference"/>
      </w:pPr>
      <w:r w:rsidRPr="0005669D">
        <w:t xml:space="preserve">Tsikata D, </w:t>
      </w:r>
      <w:r w:rsidRPr="004D1C56">
        <w:rPr>
          <w:i/>
          <w:iCs/>
        </w:rPr>
        <w:t>Affirmative Action and the Prospects for Gender Equality in Ghanaian Politics</w:t>
      </w:r>
      <w:r w:rsidRPr="0005669D">
        <w:t xml:space="preserve"> (Women in Broadcasting and the Friedrich-Ebert-Stiftung 2009)</w:t>
      </w:r>
      <w:r>
        <w:t>.</w:t>
      </w:r>
      <w:r w:rsidRPr="00397E59">
        <w:t xml:space="preserve"> &lt;</w:t>
      </w:r>
      <w:hyperlink r:id="rId32" w:history="1">
        <w:r w:rsidRPr="00DA57DA">
          <w:rPr>
            <w:rStyle w:val="Hyperlink"/>
          </w:rPr>
          <w:t>https://library.fes.de/pdf-files/bueros/ghana/10484.pdf</w:t>
        </w:r>
      </w:hyperlink>
      <w:r w:rsidRPr="00397E59">
        <w:t>&gt; accessed 2 February 2024.</w:t>
      </w:r>
    </w:p>
    <w:p w14:paraId="3083331D" w14:textId="77777777" w:rsidR="00537326" w:rsidRDefault="00537326" w:rsidP="00537326">
      <w:pPr>
        <w:pStyle w:val="Reference"/>
      </w:pPr>
    </w:p>
    <w:p w14:paraId="344CAF43" w14:textId="77777777" w:rsidR="00537326" w:rsidRDefault="00537326" w:rsidP="00537326">
      <w:pPr>
        <w:pStyle w:val="Reference"/>
      </w:pPr>
      <w:proofErr w:type="spellStart"/>
      <w:r w:rsidRPr="00D34480">
        <w:t>Tufeiru</w:t>
      </w:r>
      <w:proofErr w:type="spellEnd"/>
      <w:r w:rsidRPr="00D34480">
        <w:t xml:space="preserve"> </w:t>
      </w:r>
      <w:r>
        <w:t xml:space="preserve">A, </w:t>
      </w:r>
      <w:r w:rsidRPr="00D34480">
        <w:t>‘The Nexus of Female Capital and North-South Labour Migration in Ghana a Potential Remedy from Microfinance’ (2014) Journal of Developing Societies.</w:t>
      </w:r>
    </w:p>
    <w:p w14:paraId="7CEC5B01" w14:textId="77777777" w:rsidR="00537326" w:rsidRDefault="00537326" w:rsidP="00537326">
      <w:pPr>
        <w:pStyle w:val="Reference"/>
      </w:pPr>
    </w:p>
    <w:p w14:paraId="126C2203" w14:textId="77777777" w:rsidR="00537326" w:rsidRDefault="00537326" w:rsidP="00537326">
      <w:pPr>
        <w:pStyle w:val="Reference"/>
      </w:pPr>
      <w:r w:rsidRPr="00715ED9">
        <w:t>United Nations Women Watch</w:t>
      </w:r>
      <w:r>
        <w:t>,</w:t>
      </w:r>
      <w:r w:rsidRPr="00715ED9">
        <w:t xml:space="preserve"> ‘The UN Internet Gateway on Gender Equality and Empowerment of Women Fact Sheet Women, Gender Equality and Climate Change</w:t>
      </w:r>
      <w:r>
        <w:t>’</w:t>
      </w:r>
      <w:r w:rsidRPr="00715ED9">
        <w:t xml:space="preserve"> </w:t>
      </w:r>
      <w:r>
        <w:t>&lt;</w:t>
      </w:r>
      <w:hyperlink r:id="rId33" w:history="1">
        <w:r w:rsidRPr="00F0571C">
          <w:rPr>
            <w:rStyle w:val="Hyperlink"/>
          </w:rPr>
          <w:t>https://www.un.org/womenwatch/feature/climate_change/downloads/Women_and_Climate_Change_Factsheet.pdf</w:t>
        </w:r>
      </w:hyperlink>
      <w:r>
        <w:t>&gt; accessed 12 February 2024.</w:t>
      </w:r>
    </w:p>
    <w:p w14:paraId="59618F40" w14:textId="77777777" w:rsidR="00537326" w:rsidRDefault="00537326" w:rsidP="00537326">
      <w:pPr>
        <w:pStyle w:val="Reference"/>
      </w:pPr>
    </w:p>
    <w:p w14:paraId="0EC17301" w14:textId="77777777" w:rsidR="00537326" w:rsidRDefault="00537326" w:rsidP="00537326">
      <w:pPr>
        <w:pStyle w:val="Reference"/>
      </w:pPr>
      <w:r>
        <w:t>United Nations, ‘</w:t>
      </w:r>
      <w:r w:rsidRPr="00715ED9">
        <w:t>United Nations</w:t>
      </w:r>
      <w:r>
        <w:t xml:space="preserve"> </w:t>
      </w:r>
      <w:r w:rsidRPr="00715ED9">
        <w:t xml:space="preserve">Women and Elections </w:t>
      </w:r>
      <w:r>
        <w:t>G</w:t>
      </w:r>
      <w:r w:rsidRPr="00715ED9">
        <w:t xml:space="preserve">uide to </w:t>
      </w:r>
      <w:r>
        <w:t>P</w:t>
      </w:r>
      <w:r w:rsidRPr="00715ED9">
        <w:t xml:space="preserve">romoting and the </w:t>
      </w:r>
      <w:r>
        <w:t>P</w:t>
      </w:r>
      <w:r w:rsidRPr="00715ED9">
        <w:t xml:space="preserve">articipation of </w:t>
      </w:r>
      <w:r>
        <w:t>W</w:t>
      </w:r>
      <w:r w:rsidRPr="00715ED9">
        <w:t xml:space="preserve">omen in </w:t>
      </w:r>
      <w:r>
        <w:t>E</w:t>
      </w:r>
      <w:r w:rsidRPr="00715ED9">
        <w:t>lections</w:t>
      </w:r>
      <w:r>
        <w:t>:</w:t>
      </w:r>
      <w:r w:rsidRPr="00715ED9">
        <w:t xml:space="preserve"> The </w:t>
      </w:r>
      <w:r>
        <w:t>U</w:t>
      </w:r>
      <w:r w:rsidRPr="00715ED9">
        <w:t xml:space="preserve">nderrepresentation of </w:t>
      </w:r>
      <w:r>
        <w:t>W</w:t>
      </w:r>
      <w:r w:rsidRPr="00715ED9">
        <w:t xml:space="preserve">omen in </w:t>
      </w:r>
      <w:r>
        <w:t>N</w:t>
      </w:r>
      <w:r w:rsidRPr="00715ED9">
        <w:t xml:space="preserve">ational </w:t>
      </w:r>
      <w:r>
        <w:t>P</w:t>
      </w:r>
      <w:r w:rsidRPr="00715ED9">
        <w:t xml:space="preserve">arliaments Inter-Parliamentary Union’ </w:t>
      </w:r>
      <w:r>
        <w:t>&lt;</w:t>
      </w:r>
      <w:hyperlink r:id="rId34" w:history="1">
        <w:r w:rsidRPr="00F0571C">
          <w:rPr>
            <w:rStyle w:val="Hyperlink"/>
          </w:rPr>
          <w:t>www.ipu.org</w:t>
        </w:r>
      </w:hyperlink>
      <w:r>
        <w:t>&gt;</w:t>
      </w:r>
      <w:r w:rsidRPr="00545EA4">
        <w:t xml:space="preserve"> accessed 18 February 2024.</w:t>
      </w:r>
      <w:r>
        <w:t xml:space="preserve"> </w:t>
      </w:r>
    </w:p>
    <w:p w14:paraId="2E659E4B" w14:textId="77777777" w:rsidR="00537326" w:rsidRDefault="00537326" w:rsidP="00537326">
      <w:pPr>
        <w:pStyle w:val="Reference"/>
      </w:pPr>
    </w:p>
    <w:p w14:paraId="0B766E2E" w14:textId="77777777" w:rsidR="00537326" w:rsidRDefault="00537326" w:rsidP="00537326">
      <w:pPr>
        <w:pStyle w:val="Reference"/>
      </w:pPr>
      <w:r>
        <w:t>UNESCO Institute for Statistics, ‘Ghana’ (2021) &lt;</w:t>
      </w:r>
      <w:hyperlink r:id="rId35" w:history="1">
        <w:r w:rsidRPr="0088243F">
          <w:rPr>
            <w:rStyle w:val="Hyperlink"/>
          </w:rPr>
          <w:t>https://uis.unesco.org/en/country/gh?theme=education-and-literacy</w:t>
        </w:r>
      </w:hyperlink>
      <w:r>
        <w:t xml:space="preserve">&gt; accessed 6 February 2024. </w:t>
      </w:r>
    </w:p>
    <w:p w14:paraId="596D8066" w14:textId="77777777" w:rsidR="00537326" w:rsidRDefault="00537326" w:rsidP="00537326">
      <w:pPr>
        <w:pStyle w:val="Reference"/>
      </w:pPr>
    </w:p>
    <w:p w14:paraId="58E3B0E7" w14:textId="1090D89E" w:rsidR="00537326" w:rsidRDefault="00537326" w:rsidP="00537326">
      <w:pPr>
        <w:pStyle w:val="Reference"/>
      </w:pPr>
      <w:r>
        <w:t>United Nations Development Programme, ‘Resource Guide on Gender and Climate Change’ (2009) &lt;</w:t>
      </w:r>
      <w:hyperlink r:id="rId36" w:history="1">
        <w:r w:rsidRPr="00DA57DA">
          <w:rPr>
            <w:rStyle w:val="Hyperlink"/>
          </w:rPr>
          <w:t>https://www.undp.org/sites/g/files/zskgke326/files/publications/Resource.pdf</w:t>
        </w:r>
      </w:hyperlink>
      <w:r>
        <w:t xml:space="preserve">&gt; </w:t>
      </w:r>
    </w:p>
    <w:p w14:paraId="320684AE" w14:textId="77777777" w:rsidR="00537326" w:rsidRDefault="00537326" w:rsidP="00537326">
      <w:pPr>
        <w:pStyle w:val="Reference"/>
      </w:pPr>
    </w:p>
    <w:p w14:paraId="3F1CDD3B" w14:textId="77777777" w:rsidR="00537326" w:rsidRPr="00545EA4" w:rsidRDefault="00537326" w:rsidP="00537326">
      <w:pPr>
        <w:pStyle w:val="Reference"/>
      </w:pPr>
      <w:r>
        <w:t>United Nations Human Rights, ‘Strategic Litigation for Sexual and Gender-based Violence: Lessons Learned’ &lt;</w:t>
      </w:r>
      <w:hyperlink r:id="rId37" w:history="1">
        <w:r w:rsidRPr="00F0571C">
          <w:rPr>
            <w:rStyle w:val="Hyperlink"/>
          </w:rPr>
          <w:t>https://www.ohchr.org/sites/default/files/Documents/Issues/Women/WRGS/OHCHR-StrategicLitigationforSV-workshopreport-web.pdf</w:t>
        </w:r>
      </w:hyperlink>
      <w:r>
        <w:t xml:space="preserve"> &gt;</w:t>
      </w:r>
      <w:r w:rsidRPr="00545EA4">
        <w:t xml:space="preserve"> accessed 18 February 2024. </w:t>
      </w:r>
    </w:p>
    <w:p w14:paraId="515FE7FD" w14:textId="77777777" w:rsidR="00537326" w:rsidRDefault="00537326" w:rsidP="00537326">
      <w:pPr>
        <w:pStyle w:val="Reference"/>
      </w:pPr>
    </w:p>
    <w:p w14:paraId="6753C0A8" w14:textId="77777777" w:rsidR="00537326" w:rsidRDefault="00537326" w:rsidP="00537326">
      <w:pPr>
        <w:pStyle w:val="Reference"/>
      </w:pPr>
      <w:r>
        <w:lastRenderedPageBreak/>
        <w:t xml:space="preserve">United Nations Special Rapporteur on the Right to Peaceful Assembly and of Association - Clément </w:t>
      </w:r>
      <w:proofErr w:type="spellStart"/>
      <w:r>
        <w:t>Voulé</w:t>
      </w:r>
      <w:proofErr w:type="spellEnd"/>
      <w:r>
        <w:t xml:space="preserve"> Digital Space and the Protection of Freedoms of Association and Peaceful Assembly in Africa (Consultative Meeting With UU Special Rapporteur Clément </w:t>
      </w:r>
      <w:proofErr w:type="spellStart"/>
      <w:r>
        <w:t>Voulé</w:t>
      </w:r>
      <w:proofErr w:type="spellEnd"/>
      <w:r>
        <w:t xml:space="preserve"> Intercontinental Hotel, Nairobi, Kenya 21-22 February 2019) - </w:t>
      </w:r>
      <w:hyperlink r:id="rId38" w:history="1">
        <w:r w:rsidRPr="00883FFF">
          <w:rPr>
            <w:rStyle w:val="Hyperlink"/>
          </w:rPr>
          <w:t>https://www.icnl.org/wp-content/uploads/Final-Communique-UN-Consultation-Africa.pdf</w:t>
        </w:r>
      </w:hyperlink>
      <w:r>
        <w:rPr>
          <w:rStyle w:val="Hyperlink"/>
        </w:rPr>
        <w:t>&gt;</w:t>
      </w:r>
      <w:r w:rsidRPr="00545EA4">
        <w:t xml:space="preserve"> </w:t>
      </w:r>
      <w:r w:rsidRPr="00545EA4">
        <w:rPr>
          <w:rStyle w:val="Hyperlink"/>
        </w:rPr>
        <w:t>accessed 2 February 2024.</w:t>
      </w:r>
    </w:p>
    <w:p w14:paraId="1312CE84" w14:textId="77777777" w:rsidR="00537326" w:rsidRDefault="00537326" w:rsidP="00537326">
      <w:pPr>
        <w:pStyle w:val="Reference"/>
      </w:pPr>
    </w:p>
    <w:p w14:paraId="53895D7E" w14:textId="643535F8" w:rsidR="00537326" w:rsidRDefault="00537326" w:rsidP="00537326">
      <w:pPr>
        <w:pStyle w:val="Reference"/>
      </w:pPr>
      <w:r>
        <w:t>United Nations Women, ‘Political Participation of Women in Asia and the Pacific’ &lt;</w:t>
      </w:r>
      <w:hyperlink r:id="rId39" w:history="1">
        <w:r w:rsidRPr="00DA57DA">
          <w:rPr>
            <w:rStyle w:val="Hyperlink"/>
          </w:rPr>
          <w:t>https://asiapacific.unwomen.org/en/focus-areas/governance/political-participation-of women#:~:text=Women's%20political%20participation%20is%20a,ensuring%20better%20accountability%20to%20women</w:t>
        </w:r>
      </w:hyperlink>
      <w:r>
        <w:t>&gt;</w:t>
      </w:r>
      <w:r w:rsidRPr="00545EA4">
        <w:t xml:space="preserve"> accessed 6 February 2024.</w:t>
      </w:r>
    </w:p>
    <w:p w14:paraId="57D485CF" w14:textId="77777777" w:rsidR="00537326" w:rsidRPr="001A61AD" w:rsidRDefault="00537326" w:rsidP="00537326">
      <w:pPr>
        <w:pStyle w:val="Reference"/>
      </w:pPr>
    </w:p>
    <w:p w14:paraId="0F1E4AA4" w14:textId="77777777" w:rsidR="00537326" w:rsidRDefault="00537326" w:rsidP="00537326">
      <w:pPr>
        <w:pStyle w:val="Reference"/>
      </w:pPr>
      <w:proofErr w:type="spellStart"/>
      <w:r w:rsidRPr="002B55FA">
        <w:t>Warioba</w:t>
      </w:r>
      <w:proofErr w:type="spellEnd"/>
      <w:r w:rsidRPr="002B55FA">
        <w:t xml:space="preserve"> </w:t>
      </w:r>
      <w:r w:rsidRPr="0005669D">
        <w:t>I</w:t>
      </w:r>
      <w:r>
        <w:t>,</w:t>
      </w:r>
      <w:r w:rsidRPr="0005669D">
        <w:t xml:space="preserve"> </w:t>
      </w:r>
      <w:r>
        <w:t>‘</w:t>
      </w:r>
      <w:r w:rsidRPr="00171569">
        <w:t>The Impact of The Maputo Protocol in Tanzania</w:t>
      </w:r>
      <w:r>
        <w:t>’</w:t>
      </w:r>
      <w:r w:rsidRPr="0005669D">
        <w:t xml:space="preserve"> </w:t>
      </w:r>
      <w:r>
        <w:t>i</w:t>
      </w:r>
      <w:r w:rsidRPr="0005669D">
        <w:t xml:space="preserve">n </w:t>
      </w:r>
      <w:r>
        <w:t xml:space="preserve">A </w:t>
      </w:r>
      <w:proofErr w:type="spellStart"/>
      <w:r w:rsidRPr="008617B7">
        <w:t>Mutambasere</w:t>
      </w:r>
      <w:proofErr w:type="spellEnd"/>
      <w:r>
        <w:t>,</w:t>
      </w:r>
      <w:r w:rsidRPr="008617B7">
        <w:t xml:space="preserve"> B</w:t>
      </w:r>
      <w:r>
        <w:t xml:space="preserve"> </w:t>
      </w:r>
      <w:r w:rsidRPr="008617B7">
        <w:t>Scholtz and D</w:t>
      </w:r>
      <w:r>
        <w:t xml:space="preserve"> </w:t>
      </w:r>
      <w:r w:rsidRPr="008617B7">
        <w:t xml:space="preserve">Murden </w:t>
      </w:r>
      <w:r w:rsidRPr="0005669D">
        <w:t>(eds)</w:t>
      </w:r>
      <w:r>
        <w:t>,</w:t>
      </w:r>
      <w:r w:rsidRPr="0005669D">
        <w:t xml:space="preserve"> </w:t>
      </w:r>
      <w:r w:rsidRPr="00171569">
        <w:rPr>
          <w:i/>
          <w:iCs/>
        </w:rPr>
        <w:t xml:space="preserve">The Impact of the Maputo Protocol in Selected African </w:t>
      </w:r>
      <w:r>
        <w:rPr>
          <w:i/>
          <w:iCs/>
        </w:rPr>
        <w:t>S</w:t>
      </w:r>
      <w:r w:rsidRPr="00171569">
        <w:rPr>
          <w:i/>
          <w:iCs/>
        </w:rPr>
        <w:t xml:space="preserve">tates </w:t>
      </w:r>
      <w:r w:rsidRPr="0005669D">
        <w:t>(</w:t>
      </w:r>
      <w:r>
        <w:t xml:space="preserve">PULP </w:t>
      </w:r>
      <w:r w:rsidRPr="0005669D">
        <w:t>2023)</w:t>
      </w:r>
      <w:r>
        <w:t>.</w:t>
      </w:r>
      <w:r w:rsidRPr="0005669D">
        <w:t xml:space="preserve"> </w:t>
      </w:r>
    </w:p>
    <w:p w14:paraId="18223366" w14:textId="77777777" w:rsidR="00537326" w:rsidRDefault="00537326" w:rsidP="00537326">
      <w:pPr>
        <w:pStyle w:val="Reference"/>
      </w:pPr>
    </w:p>
    <w:p w14:paraId="731A7DE8" w14:textId="77777777" w:rsidR="00537326" w:rsidRDefault="00537326" w:rsidP="00537326">
      <w:pPr>
        <w:pStyle w:val="Reference"/>
      </w:pPr>
      <w:r w:rsidRPr="00502DE3">
        <w:t>Westminster Foundation for Democracy</w:t>
      </w:r>
      <w:r>
        <w:t xml:space="preserve">, </w:t>
      </w:r>
      <w:r w:rsidRPr="00502DE3">
        <w:t>The Costs of Politics in Ghana</w:t>
      </w:r>
      <w:r>
        <w:t xml:space="preserve"> (2018)</w:t>
      </w:r>
      <w:r w:rsidRPr="00502DE3">
        <w:t xml:space="preserve"> </w:t>
      </w:r>
      <w:r>
        <w:t>&lt;</w:t>
      </w:r>
      <w:hyperlink r:id="rId40" w:history="1">
        <w:r w:rsidRPr="00F0571C">
          <w:rPr>
            <w:rStyle w:val="Hyperlink"/>
          </w:rPr>
          <w:t>https://www.wfd.org/sites/default/files/2022-02/Cost_Of_Politics_Ghana.pdf</w:t>
        </w:r>
      </w:hyperlink>
      <w:r>
        <w:t>&gt; accessed 13 April 2024.</w:t>
      </w:r>
    </w:p>
    <w:p w14:paraId="5A5D33C7" w14:textId="77777777" w:rsidR="00537326" w:rsidRPr="00692436" w:rsidRDefault="00537326" w:rsidP="00537326">
      <w:pPr>
        <w:pStyle w:val="Heading2"/>
        <w:rPr>
          <w:lang w:val="en-ZA"/>
        </w:rPr>
      </w:pPr>
      <w:r w:rsidRPr="00692436">
        <w:rPr>
          <w:lang w:val="en-ZA"/>
        </w:rPr>
        <w:t>C</w:t>
      </w:r>
      <w:r>
        <w:rPr>
          <w:lang w:val="en-ZA"/>
        </w:rPr>
        <w:t>ases</w:t>
      </w:r>
    </w:p>
    <w:p w14:paraId="449834EE" w14:textId="77777777" w:rsidR="00537326" w:rsidRDefault="00537326" w:rsidP="00537326">
      <w:pPr>
        <w:pStyle w:val="Reference"/>
        <w:rPr>
          <w:iCs/>
        </w:rPr>
      </w:pPr>
      <w:proofErr w:type="spellStart"/>
      <w:r w:rsidRPr="00AA11CC">
        <w:rPr>
          <w:i/>
          <w:iCs/>
        </w:rPr>
        <w:t>Bhe</w:t>
      </w:r>
      <w:proofErr w:type="spellEnd"/>
      <w:r w:rsidRPr="00AA11CC">
        <w:rPr>
          <w:i/>
          <w:iCs/>
        </w:rPr>
        <w:t xml:space="preserve"> and Others v The Magistrate, Khayelitsha and Others</w:t>
      </w:r>
      <w:r w:rsidRPr="00DE4DC2">
        <w:t xml:space="preserve"> </w:t>
      </w:r>
      <w:r w:rsidRPr="00545EA4">
        <w:t xml:space="preserve">2005 (3) </w:t>
      </w:r>
      <w:r w:rsidRPr="005020D0">
        <w:rPr>
          <w:iCs/>
        </w:rPr>
        <w:t>CCT 49/03</w:t>
      </w:r>
      <w:r>
        <w:rPr>
          <w:iCs/>
        </w:rPr>
        <w:t>.</w:t>
      </w:r>
      <w:r w:rsidRPr="005020D0">
        <w:rPr>
          <w:iCs/>
        </w:rPr>
        <w:t xml:space="preserve"> </w:t>
      </w:r>
    </w:p>
    <w:p w14:paraId="1E336DEC" w14:textId="77777777" w:rsidR="00537326" w:rsidRPr="005020D0" w:rsidRDefault="00537326" w:rsidP="00537326">
      <w:pPr>
        <w:pStyle w:val="Reference"/>
        <w:rPr>
          <w:iCs/>
        </w:rPr>
      </w:pPr>
    </w:p>
    <w:p w14:paraId="360CB9F2" w14:textId="77777777" w:rsidR="00537326" w:rsidRDefault="00537326" w:rsidP="00537326">
      <w:pPr>
        <w:pStyle w:val="Reference"/>
        <w:rPr>
          <w:iCs/>
        </w:rPr>
      </w:pPr>
      <w:r w:rsidRPr="00AA11CC">
        <w:rPr>
          <w:i/>
          <w:iCs/>
        </w:rPr>
        <w:t>Brown v Attorney-General</w:t>
      </w:r>
      <w:r w:rsidRPr="00DE4DC2">
        <w:t xml:space="preserve"> </w:t>
      </w:r>
      <w:r w:rsidRPr="005020D0">
        <w:rPr>
          <w:iCs/>
        </w:rPr>
        <w:t xml:space="preserve">2010 </w:t>
      </w:r>
      <w:r>
        <w:rPr>
          <w:iCs/>
        </w:rPr>
        <w:t xml:space="preserve">(6) </w:t>
      </w:r>
      <w:r w:rsidRPr="005020D0">
        <w:rPr>
          <w:iCs/>
        </w:rPr>
        <w:t>SCGLR 183.</w:t>
      </w:r>
    </w:p>
    <w:p w14:paraId="21465022" w14:textId="77777777" w:rsidR="00537326" w:rsidRPr="005020D0" w:rsidRDefault="00537326" w:rsidP="00537326">
      <w:pPr>
        <w:pStyle w:val="Reference"/>
        <w:rPr>
          <w:iCs/>
        </w:rPr>
      </w:pPr>
    </w:p>
    <w:p w14:paraId="217CEC50" w14:textId="77777777" w:rsidR="00537326" w:rsidRDefault="00537326" w:rsidP="00537326">
      <w:pPr>
        <w:pStyle w:val="Reference"/>
        <w:rPr>
          <w:iCs/>
          <w:lang w:val="fr-FR"/>
        </w:rPr>
      </w:pPr>
      <w:r w:rsidRPr="00AA11CC">
        <w:rPr>
          <w:i/>
          <w:iCs/>
          <w:lang w:val="fr-FR"/>
        </w:rPr>
        <w:t>Commission Nationale des Droits de l’Homme et des Libertés v Chad</w:t>
      </w:r>
      <w:r w:rsidRPr="005020D0">
        <w:rPr>
          <w:iCs/>
          <w:lang w:val="fr-FR"/>
        </w:rPr>
        <w:t xml:space="preserve"> </w:t>
      </w:r>
      <w:r>
        <w:rPr>
          <w:iCs/>
          <w:lang w:val="fr-FR"/>
        </w:rPr>
        <w:t>1974 (</w:t>
      </w:r>
      <w:r w:rsidRPr="005020D0">
        <w:rPr>
          <w:iCs/>
          <w:lang w:val="fr-FR"/>
        </w:rPr>
        <w:t>92) (ACHPR)</w:t>
      </w:r>
      <w:r>
        <w:rPr>
          <w:iCs/>
          <w:lang w:val="fr-FR"/>
        </w:rPr>
        <w:t>.</w:t>
      </w:r>
    </w:p>
    <w:p w14:paraId="5082893C" w14:textId="77777777" w:rsidR="00537326" w:rsidRPr="005020D0" w:rsidRDefault="00537326" w:rsidP="00537326">
      <w:pPr>
        <w:pStyle w:val="Reference"/>
        <w:rPr>
          <w:iCs/>
          <w:lang w:val="fr-FR"/>
        </w:rPr>
      </w:pPr>
    </w:p>
    <w:p w14:paraId="3AD7AA46" w14:textId="77777777" w:rsidR="00537326" w:rsidRDefault="00537326" w:rsidP="00537326">
      <w:pPr>
        <w:pStyle w:val="Reference"/>
        <w:rPr>
          <w:iCs/>
        </w:rPr>
      </w:pPr>
      <w:r w:rsidRPr="00AA11CC">
        <w:rPr>
          <w:i/>
          <w:iCs/>
        </w:rPr>
        <w:t xml:space="preserve">Dorothy </w:t>
      </w:r>
      <w:proofErr w:type="spellStart"/>
      <w:r w:rsidRPr="00AA11CC">
        <w:rPr>
          <w:i/>
          <w:iCs/>
        </w:rPr>
        <w:t>Njemanze</w:t>
      </w:r>
      <w:proofErr w:type="spellEnd"/>
      <w:r w:rsidRPr="00AA11CC">
        <w:rPr>
          <w:i/>
          <w:iCs/>
        </w:rPr>
        <w:t xml:space="preserve"> and </w:t>
      </w:r>
      <w:r>
        <w:rPr>
          <w:i/>
          <w:iCs/>
        </w:rPr>
        <w:t>Three</w:t>
      </w:r>
      <w:r w:rsidRPr="00AA11CC">
        <w:rPr>
          <w:i/>
          <w:iCs/>
        </w:rPr>
        <w:t xml:space="preserve"> </w:t>
      </w:r>
      <w:r>
        <w:rPr>
          <w:i/>
          <w:iCs/>
        </w:rPr>
        <w:t>O</w:t>
      </w:r>
      <w:r w:rsidRPr="00AA11CC">
        <w:rPr>
          <w:i/>
          <w:iCs/>
        </w:rPr>
        <w:t>thers v The Federal Republic of Nigeria</w:t>
      </w:r>
      <w:r>
        <w:t xml:space="preserve"> 2017 (8) </w:t>
      </w:r>
      <w:r w:rsidRPr="005020D0">
        <w:rPr>
          <w:iCs/>
        </w:rPr>
        <w:t>ECW/CCJ/JUD/08/17</w:t>
      </w:r>
      <w:r>
        <w:rPr>
          <w:iCs/>
        </w:rPr>
        <w:t>.</w:t>
      </w:r>
    </w:p>
    <w:p w14:paraId="7EAC1359" w14:textId="77777777" w:rsidR="00537326" w:rsidRPr="005020D0" w:rsidRDefault="00537326" w:rsidP="00537326">
      <w:pPr>
        <w:pStyle w:val="Reference"/>
        <w:rPr>
          <w:iCs/>
        </w:rPr>
      </w:pPr>
    </w:p>
    <w:p w14:paraId="2A6F27F5" w14:textId="77777777" w:rsidR="00537326" w:rsidRDefault="00537326" w:rsidP="00537326">
      <w:pPr>
        <w:pStyle w:val="Reference"/>
        <w:rPr>
          <w:iCs/>
        </w:rPr>
      </w:pPr>
      <w:r w:rsidRPr="00AA11CC">
        <w:rPr>
          <w:i/>
          <w:iCs/>
        </w:rPr>
        <w:t xml:space="preserve">Egyptian Initiative for Personal Rights and </w:t>
      </w:r>
      <w:proofErr w:type="spellStart"/>
      <w:r w:rsidRPr="00AA11CC">
        <w:rPr>
          <w:i/>
          <w:iCs/>
        </w:rPr>
        <w:t>Interights</w:t>
      </w:r>
      <w:proofErr w:type="spellEnd"/>
      <w:r w:rsidRPr="00AA11CC">
        <w:rPr>
          <w:i/>
          <w:iCs/>
        </w:rPr>
        <w:t xml:space="preserve"> v Arab Republic of Egypt</w:t>
      </w:r>
      <w:r w:rsidRPr="00DE4DC2">
        <w:t xml:space="preserve"> </w:t>
      </w:r>
      <w:r w:rsidRPr="005020D0">
        <w:rPr>
          <w:iCs/>
        </w:rPr>
        <w:t xml:space="preserve">2011 </w:t>
      </w:r>
      <w:r>
        <w:rPr>
          <w:iCs/>
        </w:rPr>
        <w:t xml:space="preserve">(85) </w:t>
      </w:r>
      <w:r w:rsidRPr="005020D0">
        <w:rPr>
          <w:iCs/>
        </w:rPr>
        <w:t>ACHPR 85</w:t>
      </w:r>
      <w:r>
        <w:rPr>
          <w:iCs/>
        </w:rPr>
        <w:t>.</w:t>
      </w:r>
    </w:p>
    <w:p w14:paraId="055CA7C4" w14:textId="77777777" w:rsidR="00537326" w:rsidRPr="005020D0" w:rsidRDefault="00537326" w:rsidP="00537326">
      <w:pPr>
        <w:pStyle w:val="Reference"/>
        <w:rPr>
          <w:iCs/>
        </w:rPr>
      </w:pPr>
    </w:p>
    <w:p w14:paraId="4E9CC1CD" w14:textId="77777777" w:rsidR="00537326" w:rsidRDefault="00537326" w:rsidP="00537326">
      <w:pPr>
        <w:pStyle w:val="Reference"/>
        <w:rPr>
          <w:iCs/>
        </w:rPr>
      </w:pPr>
      <w:proofErr w:type="spellStart"/>
      <w:r w:rsidRPr="00AA11CC">
        <w:rPr>
          <w:i/>
          <w:iCs/>
        </w:rPr>
        <w:t>Ezuame</w:t>
      </w:r>
      <w:proofErr w:type="spellEnd"/>
      <w:r w:rsidRPr="00AA11CC">
        <w:rPr>
          <w:i/>
          <w:iCs/>
        </w:rPr>
        <w:t xml:space="preserve"> Mannan </w:t>
      </w:r>
      <w:r>
        <w:rPr>
          <w:i/>
          <w:iCs/>
        </w:rPr>
        <w:t>v</w:t>
      </w:r>
      <w:r w:rsidRPr="00AA11CC">
        <w:rPr>
          <w:i/>
          <w:iCs/>
        </w:rPr>
        <w:t xml:space="preserve"> The Attorney-General and Speaker of Parliament</w:t>
      </w:r>
      <w:r w:rsidRPr="005020D0">
        <w:rPr>
          <w:iCs/>
        </w:rPr>
        <w:t xml:space="preserve"> 2022 JELR 109828 (SC).</w:t>
      </w:r>
    </w:p>
    <w:p w14:paraId="6EC3A6C4" w14:textId="77777777" w:rsidR="00537326" w:rsidRPr="005020D0" w:rsidRDefault="00537326" w:rsidP="00537326">
      <w:pPr>
        <w:pStyle w:val="Reference"/>
        <w:rPr>
          <w:iCs/>
        </w:rPr>
      </w:pPr>
    </w:p>
    <w:p w14:paraId="62E1B07A" w14:textId="77777777" w:rsidR="00537326" w:rsidRDefault="00537326" w:rsidP="00537326">
      <w:pPr>
        <w:pStyle w:val="Reference"/>
        <w:rPr>
          <w:iCs/>
        </w:rPr>
      </w:pPr>
      <w:r w:rsidRPr="00AA11CC">
        <w:rPr>
          <w:i/>
          <w:iCs/>
        </w:rPr>
        <w:t xml:space="preserve">Ghana Lotto Operators Association </w:t>
      </w:r>
      <w:r>
        <w:rPr>
          <w:i/>
          <w:iCs/>
        </w:rPr>
        <w:t>and</w:t>
      </w:r>
      <w:r w:rsidRPr="00AA11CC">
        <w:rPr>
          <w:i/>
          <w:iCs/>
        </w:rPr>
        <w:t xml:space="preserve"> Others v National Lottery Authority </w:t>
      </w:r>
      <w:r w:rsidRPr="005020D0">
        <w:rPr>
          <w:iCs/>
        </w:rPr>
        <w:t>2007 SCGLR 1088 1096</w:t>
      </w:r>
      <w:r>
        <w:rPr>
          <w:iCs/>
        </w:rPr>
        <w:t>.</w:t>
      </w:r>
    </w:p>
    <w:p w14:paraId="073C1B28" w14:textId="77777777" w:rsidR="00537326" w:rsidRPr="005020D0" w:rsidRDefault="00537326" w:rsidP="00537326">
      <w:pPr>
        <w:pStyle w:val="Reference"/>
        <w:rPr>
          <w:iCs/>
        </w:rPr>
      </w:pPr>
    </w:p>
    <w:p w14:paraId="27EA710D" w14:textId="77777777" w:rsidR="00537326" w:rsidRDefault="00537326" w:rsidP="00537326">
      <w:pPr>
        <w:pStyle w:val="Reference"/>
        <w:rPr>
          <w:iCs/>
        </w:rPr>
      </w:pPr>
      <w:proofErr w:type="spellStart"/>
      <w:r w:rsidRPr="00AA11CC">
        <w:rPr>
          <w:i/>
          <w:iCs/>
        </w:rPr>
        <w:t>Hadijatou</w:t>
      </w:r>
      <w:proofErr w:type="spellEnd"/>
      <w:r w:rsidRPr="00AA11CC">
        <w:rPr>
          <w:i/>
          <w:iCs/>
        </w:rPr>
        <w:t xml:space="preserve"> Mani v Niger </w:t>
      </w:r>
      <w:r>
        <w:rPr>
          <w:i/>
          <w:iCs/>
        </w:rPr>
        <w:t>K</w:t>
      </w:r>
      <w:r w:rsidRPr="00AA11CC">
        <w:rPr>
          <w:i/>
          <w:iCs/>
        </w:rPr>
        <w:t>oroua v the Republic of Niger</w:t>
      </w:r>
      <w:r w:rsidRPr="005020D0">
        <w:rPr>
          <w:iCs/>
        </w:rPr>
        <w:t xml:space="preserve"> 2008 </w:t>
      </w:r>
      <w:r>
        <w:rPr>
          <w:iCs/>
        </w:rPr>
        <w:t>(</w:t>
      </w:r>
      <w:r w:rsidRPr="005020D0">
        <w:rPr>
          <w:iCs/>
        </w:rPr>
        <w:t>06</w:t>
      </w:r>
      <w:r>
        <w:rPr>
          <w:iCs/>
        </w:rPr>
        <w:t>).</w:t>
      </w:r>
      <w:r w:rsidRPr="005020D0">
        <w:rPr>
          <w:iCs/>
        </w:rPr>
        <w:t xml:space="preserve"> </w:t>
      </w:r>
    </w:p>
    <w:p w14:paraId="67FFB6F1" w14:textId="77777777" w:rsidR="00537326" w:rsidRPr="00545EA4" w:rsidRDefault="00537326" w:rsidP="00537326">
      <w:pPr>
        <w:pStyle w:val="Reference"/>
        <w:rPr>
          <w:iCs/>
        </w:rPr>
      </w:pPr>
    </w:p>
    <w:p w14:paraId="581A36BB" w14:textId="77777777" w:rsidR="00537326" w:rsidRDefault="00537326" w:rsidP="00537326">
      <w:pPr>
        <w:pStyle w:val="Reference"/>
        <w:rPr>
          <w:iCs/>
        </w:rPr>
      </w:pPr>
      <w:r w:rsidRPr="00AA11CC">
        <w:rPr>
          <w:i/>
          <w:iCs/>
        </w:rPr>
        <w:t xml:space="preserve">James Kwabena </w:t>
      </w:r>
      <w:proofErr w:type="spellStart"/>
      <w:r w:rsidRPr="00AA11CC">
        <w:rPr>
          <w:i/>
          <w:iCs/>
        </w:rPr>
        <w:t>Bomfeh</w:t>
      </w:r>
      <w:proofErr w:type="spellEnd"/>
      <w:r w:rsidRPr="00AA11CC">
        <w:rPr>
          <w:i/>
          <w:iCs/>
        </w:rPr>
        <w:t xml:space="preserve"> v Attorney General</w:t>
      </w:r>
      <w:r w:rsidRPr="005020D0">
        <w:rPr>
          <w:iCs/>
        </w:rPr>
        <w:t xml:space="preserve"> 2019 </w:t>
      </w:r>
      <w:proofErr w:type="spellStart"/>
      <w:r w:rsidRPr="005020D0">
        <w:rPr>
          <w:iCs/>
        </w:rPr>
        <w:t>Jl</w:t>
      </w:r>
      <w:proofErr w:type="spellEnd"/>
      <w:r w:rsidRPr="005020D0">
        <w:rPr>
          <w:iCs/>
        </w:rPr>
        <w:t>/14/2017</w:t>
      </w:r>
      <w:r>
        <w:rPr>
          <w:iCs/>
        </w:rPr>
        <w:t>.</w:t>
      </w:r>
    </w:p>
    <w:p w14:paraId="00B29574" w14:textId="77777777" w:rsidR="00537326" w:rsidRPr="005020D0" w:rsidRDefault="00537326" w:rsidP="00537326">
      <w:pPr>
        <w:pStyle w:val="Reference"/>
        <w:rPr>
          <w:iCs/>
        </w:rPr>
      </w:pPr>
    </w:p>
    <w:p w14:paraId="5E1C3DBC" w14:textId="77777777" w:rsidR="00537326" w:rsidRDefault="00537326" w:rsidP="00537326">
      <w:pPr>
        <w:pStyle w:val="Reference"/>
        <w:rPr>
          <w:iCs/>
        </w:rPr>
      </w:pPr>
      <w:r w:rsidRPr="00AA11CC">
        <w:rPr>
          <w:i/>
          <w:iCs/>
        </w:rPr>
        <w:t>Justice Abdulai v The Attorney General</w:t>
      </w:r>
      <w:r w:rsidRPr="005020D0">
        <w:rPr>
          <w:iCs/>
        </w:rPr>
        <w:t xml:space="preserve"> </w:t>
      </w:r>
      <w:r>
        <w:rPr>
          <w:iCs/>
        </w:rPr>
        <w:t>2022 (</w:t>
      </w:r>
      <w:r w:rsidRPr="005020D0">
        <w:rPr>
          <w:iCs/>
        </w:rPr>
        <w:t>7</w:t>
      </w:r>
      <w:r>
        <w:rPr>
          <w:iCs/>
        </w:rPr>
        <w:t>)</w:t>
      </w:r>
      <w:r w:rsidRPr="005020D0">
        <w:rPr>
          <w:iCs/>
        </w:rPr>
        <w:t>.</w:t>
      </w:r>
    </w:p>
    <w:p w14:paraId="7C7930C8" w14:textId="77777777" w:rsidR="00537326" w:rsidRPr="005020D0" w:rsidRDefault="00537326" w:rsidP="00537326">
      <w:pPr>
        <w:pStyle w:val="Reference"/>
        <w:rPr>
          <w:iCs/>
        </w:rPr>
      </w:pPr>
    </w:p>
    <w:p w14:paraId="50516C01" w14:textId="77777777" w:rsidR="00537326" w:rsidRDefault="00537326" w:rsidP="00537326">
      <w:pPr>
        <w:pStyle w:val="Reference"/>
      </w:pPr>
      <w:r w:rsidRPr="00DE4DC2">
        <w:rPr>
          <w:i/>
        </w:rPr>
        <w:t>Kenneth Good v the Republic of Botswana</w:t>
      </w:r>
      <w:r w:rsidRPr="005020D0">
        <w:t xml:space="preserve"> </w:t>
      </w:r>
      <w:r>
        <w:t xml:space="preserve">2010 (5) </w:t>
      </w:r>
      <w:r w:rsidRPr="005020D0">
        <w:t xml:space="preserve">313/05) 2010 </w:t>
      </w:r>
      <w:proofErr w:type="spellStart"/>
      <w:r w:rsidRPr="005020D0">
        <w:t>Achpr</w:t>
      </w:r>
      <w:proofErr w:type="spellEnd"/>
      <w:r w:rsidRPr="005020D0">
        <w:t xml:space="preserve"> 106</w:t>
      </w:r>
      <w:r>
        <w:t>.</w:t>
      </w:r>
      <w:r w:rsidRPr="005020D0">
        <w:t xml:space="preserve"> </w:t>
      </w:r>
    </w:p>
    <w:p w14:paraId="5EA94C3C" w14:textId="77777777" w:rsidR="00537326" w:rsidRPr="005020D0" w:rsidRDefault="00537326" w:rsidP="00537326">
      <w:pPr>
        <w:pStyle w:val="Reference"/>
      </w:pPr>
    </w:p>
    <w:p w14:paraId="1FDE8CE4" w14:textId="77777777" w:rsidR="00537326" w:rsidRDefault="00537326" w:rsidP="00537326">
      <w:pPr>
        <w:pStyle w:val="Reference"/>
      </w:pPr>
      <w:r w:rsidRPr="00DE4DC2">
        <w:rPr>
          <w:i/>
        </w:rPr>
        <w:t xml:space="preserve">Magaret </w:t>
      </w:r>
      <w:proofErr w:type="spellStart"/>
      <w:r w:rsidRPr="00DE4DC2">
        <w:rPr>
          <w:i/>
        </w:rPr>
        <w:t>Banful</w:t>
      </w:r>
      <w:proofErr w:type="spellEnd"/>
      <w:r w:rsidRPr="00DE4DC2">
        <w:rPr>
          <w:i/>
        </w:rPr>
        <w:t xml:space="preserve"> </w:t>
      </w:r>
      <w:r>
        <w:rPr>
          <w:i/>
        </w:rPr>
        <w:t>and</w:t>
      </w:r>
      <w:r w:rsidRPr="00DE4DC2">
        <w:rPr>
          <w:i/>
        </w:rPr>
        <w:t xml:space="preserve"> Henry Nana Boakye v Attorney-General</w:t>
      </w:r>
      <w:r w:rsidRPr="005020D0">
        <w:t xml:space="preserve"> </w:t>
      </w:r>
      <w:r>
        <w:t xml:space="preserve">2017 (7) </w:t>
      </w:r>
      <w:r w:rsidRPr="005020D0">
        <w:t>Writ no. J1/7/2016</w:t>
      </w:r>
      <w:r>
        <w:t>.</w:t>
      </w:r>
      <w:r w:rsidRPr="005020D0">
        <w:t xml:space="preserve"> </w:t>
      </w:r>
    </w:p>
    <w:p w14:paraId="37CFBA4E" w14:textId="77777777" w:rsidR="00537326" w:rsidRPr="005020D0" w:rsidRDefault="00537326" w:rsidP="00537326">
      <w:pPr>
        <w:pStyle w:val="Reference"/>
      </w:pPr>
    </w:p>
    <w:p w14:paraId="372B1402" w14:textId="77777777" w:rsidR="00537326" w:rsidRDefault="00537326" w:rsidP="00537326">
      <w:pPr>
        <w:pStyle w:val="Reference"/>
        <w:rPr>
          <w:iCs/>
        </w:rPr>
      </w:pPr>
      <w:r w:rsidRPr="00AA11CC">
        <w:rPr>
          <w:i/>
          <w:iCs/>
        </w:rPr>
        <w:t xml:space="preserve">Mary Sunday v </w:t>
      </w:r>
      <w:r>
        <w:rPr>
          <w:i/>
          <w:iCs/>
        </w:rPr>
        <w:t xml:space="preserve">The </w:t>
      </w:r>
      <w:r w:rsidRPr="00AA11CC">
        <w:rPr>
          <w:i/>
          <w:iCs/>
        </w:rPr>
        <w:t>Federal Republic of Nigeria</w:t>
      </w:r>
      <w:r w:rsidRPr="005020D0">
        <w:rPr>
          <w:iCs/>
        </w:rPr>
        <w:t xml:space="preserve"> </w:t>
      </w:r>
      <w:r>
        <w:rPr>
          <w:iCs/>
        </w:rPr>
        <w:t xml:space="preserve">2018 </w:t>
      </w:r>
      <w:r w:rsidRPr="005020D0">
        <w:rPr>
          <w:iCs/>
        </w:rPr>
        <w:t>ECW/CCJ/APP/26/15</w:t>
      </w:r>
      <w:r>
        <w:rPr>
          <w:iCs/>
        </w:rPr>
        <w:t>.</w:t>
      </w:r>
      <w:r w:rsidRPr="005020D0">
        <w:rPr>
          <w:iCs/>
        </w:rPr>
        <w:t xml:space="preserve"> </w:t>
      </w:r>
    </w:p>
    <w:p w14:paraId="0AAB6A1F" w14:textId="77777777" w:rsidR="00537326" w:rsidRPr="005020D0" w:rsidRDefault="00537326" w:rsidP="00537326">
      <w:pPr>
        <w:pStyle w:val="Reference"/>
        <w:rPr>
          <w:iCs/>
        </w:rPr>
      </w:pPr>
    </w:p>
    <w:p w14:paraId="6D12CF1F" w14:textId="77777777" w:rsidR="00537326" w:rsidRDefault="00537326" w:rsidP="00537326">
      <w:pPr>
        <w:pStyle w:val="Reference"/>
        <w:rPr>
          <w:iCs/>
        </w:rPr>
      </w:pPr>
      <w:r w:rsidRPr="00AA11CC">
        <w:rPr>
          <w:i/>
          <w:iCs/>
        </w:rPr>
        <w:t>New Patriotic Party v Attorney-General</w:t>
      </w:r>
      <w:r w:rsidRPr="005020D0">
        <w:rPr>
          <w:iCs/>
        </w:rPr>
        <w:t xml:space="preserve"> 1997</w:t>
      </w:r>
      <w:r>
        <w:rPr>
          <w:iCs/>
        </w:rPr>
        <w:t xml:space="preserve"> (</w:t>
      </w:r>
      <w:r w:rsidRPr="005020D0">
        <w:rPr>
          <w:iCs/>
        </w:rPr>
        <w:t>1</w:t>
      </w:r>
      <w:r>
        <w:rPr>
          <w:iCs/>
        </w:rPr>
        <w:t>)</w:t>
      </w:r>
      <w:r w:rsidRPr="005020D0">
        <w:rPr>
          <w:iCs/>
        </w:rPr>
        <w:t xml:space="preserve"> GLR 378</w:t>
      </w:r>
      <w:r>
        <w:rPr>
          <w:iCs/>
        </w:rPr>
        <w:t>.</w:t>
      </w:r>
    </w:p>
    <w:p w14:paraId="05A0CA62" w14:textId="77777777" w:rsidR="00537326" w:rsidRPr="005020D0" w:rsidRDefault="00537326" w:rsidP="00537326">
      <w:pPr>
        <w:pStyle w:val="Reference"/>
        <w:rPr>
          <w:iCs/>
        </w:rPr>
      </w:pPr>
    </w:p>
    <w:p w14:paraId="0480B74B" w14:textId="77777777" w:rsidR="00537326" w:rsidRDefault="00537326" w:rsidP="00537326">
      <w:pPr>
        <w:pStyle w:val="Reference"/>
        <w:rPr>
          <w:iCs/>
        </w:rPr>
      </w:pPr>
      <w:r w:rsidRPr="00AA11CC">
        <w:rPr>
          <w:i/>
          <w:iCs/>
        </w:rPr>
        <w:t xml:space="preserve">Rebeca </w:t>
      </w:r>
      <w:proofErr w:type="spellStart"/>
      <w:r w:rsidRPr="00AA11CC">
        <w:rPr>
          <w:i/>
          <w:iCs/>
        </w:rPr>
        <w:t>Gyumi</w:t>
      </w:r>
      <w:proofErr w:type="spellEnd"/>
      <w:r w:rsidRPr="00AA11CC">
        <w:rPr>
          <w:i/>
          <w:iCs/>
        </w:rPr>
        <w:t xml:space="preserve"> v Attorney General Misc</w:t>
      </w:r>
      <w:r w:rsidRPr="005020D0">
        <w:rPr>
          <w:iCs/>
        </w:rPr>
        <w:t xml:space="preserve"> </w:t>
      </w:r>
      <w:r>
        <w:rPr>
          <w:iCs/>
        </w:rPr>
        <w:t xml:space="preserve">2016 (5). </w:t>
      </w:r>
    </w:p>
    <w:p w14:paraId="590479BB" w14:textId="77777777" w:rsidR="00537326" w:rsidRPr="005020D0" w:rsidRDefault="00537326" w:rsidP="00537326">
      <w:pPr>
        <w:pStyle w:val="Reference"/>
        <w:rPr>
          <w:iCs/>
        </w:rPr>
      </w:pPr>
    </w:p>
    <w:p w14:paraId="1BBEF1B3" w14:textId="77777777" w:rsidR="00537326" w:rsidRDefault="00537326" w:rsidP="00537326">
      <w:pPr>
        <w:pStyle w:val="Reference"/>
        <w:rPr>
          <w:iCs/>
        </w:rPr>
      </w:pPr>
      <w:r w:rsidRPr="00AA11CC">
        <w:rPr>
          <w:i/>
          <w:iCs/>
        </w:rPr>
        <w:t>Republic v High Court (Commercial Division) Accra</w:t>
      </w:r>
      <w:r w:rsidRPr="00DE4DC2">
        <w:t xml:space="preserve">; ex </w:t>
      </w:r>
      <w:proofErr w:type="spellStart"/>
      <w:r w:rsidRPr="00DE4DC2">
        <w:t>parte</w:t>
      </w:r>
      <w:proofErr w:type="spellEnd"/>
      <w:r w:rsidRPr="00DE4DC2">
        <w:t xml:space="preserve"> Attorney-General (NML Capital Ltd &amp; Republic of Argentina, Interested Parties)</w:t>
      </w:r>
      <w:r w:rsidRPr="005020D0">
        <w:rPr>
          <w:iCs/>
        </w:rPr>
        <w:t xml:space="preserve"> (2013-2014) 2 SCGLR 990.</w:t>
      </w:r>
    </w:p>
    <w:p w14:paraId="074B0FAF" w14:textId="77777777" w:rsidR="00537326" w:rsidRPr="005020D0" w:rsidRDefault="00537326" w:rsidP="00537326">
      <w:pPr>
        <w:pStyle w:val="Reference"/>
        <w:rPr>
          <w:iCs/>
        </w:rPr>
      </w:pPr>
    </w:p>
    <w:p w14:paraId="65A57421" w14:textId="77777777" w:rsidR="00537326" w:rsidRDefault="00537326" w:rsidP="00537326">
      <w:pPr>
        <w:pStyle w:val="Reference"/>
        <w:rPr>
          <w:iCs/>
        </w:rPr>
      </w:pPr>
      <w:r w:rsidRPr="00AA11CC">
        <w:rPr>
          <w:i/>
          <w:iCs/>
        </w:rPr>
        <w:t xml:space="preserve">Shibi v Sithole and Others </w:t>
      </w:r>
      <w:r w:rsidRPr="006E65ED">
        <w:t>2004</w:t>
      </w:r>
      <w:r>
        <w:rPr>
          <w:i/>
          <w:iCs/>
        </w:rPr>
        <w:t xml:space="preserve"> </w:t>
      </w:r>
      <w:r>
        <w:t xml:space="preserve">(3) </w:t>
      </w:r>
      <w:r w:rsidRPr="005020D0">
        <w:rPr>
          <w:iCs/>
        </w:rPr>
        <w:t>CCT 69/03</w:t>
      </w:r>
      <w:r>
        <w:rPr>
          <w:iCs/>
        </w:rPr>
        <w:t>.</w:t>
      </w:r>
      <w:r w:rsidRPr="005020D0">
        <w:rPr>
          <w:iCs/>
        </w:rPr>
        <w:t xml:space="preserve"> </w:t>
      </w:r>
    </w:p>
    <w:p w14:paraId="176501BD" w14:textId="77777777" w:rsidR="00537326" w:rsidRPr="005020D0" w:rsidRDefault="00537326" w:rsidP="00537326">
      <w:pPr>
        <w:pStyle w:val="Reference"/>
        <w:rPr>
          <w:iCs/>
        </w:rPr>
      </w:pPr>
    </w:p>
    <w:p w14:paraId="19006AC8" w14:textId="77777777" w:rsidR="00537326" w:rsidRDefault="00537326" w:rsidP="00537326">
      <w:pPr>
        <w:pStyle w:val="Reference"/>
        <w:rPr>
          <w:iCs/>
        </w:rPr>
      </w:pPr>
      <w:r w:rsidRPr="00AA11CC">
        <w:rPr>
          <w:i/>
          <w:iCs/>
        </w:rPr>
        <w:t xml:space="preserve">South African Human Rights Commission and Another v President of the Republic of South Africa and Another </w:t>
      </w:r>
      <w:r w:rsidRPr="005020D0">
        <w:rPr>
          <w:iCs/>
        </w:rPr>
        <w:t xml:space="preserve">CCT </w:t>
      </w:r>
      <w:r>
        <w:rPr>
          <w:iCs/>
        </w:rPr>
        <w:t>2003 (</w:t>
      </w:r>
      <w:r w:rsidRPr="005020D0">
        <w:rPr>
          <w:iCs/>
        </w:rPr>
        <w:t>50</w:t>
      </w:r>
      <w:r>
        <w:rPr>
          <w:iCs/>
        </w:rPr>
        <w:t>).</w:t>
      </w:r>
    </w:p>
    <w:p w14:paraId="400D3A32" w14:textId="77777777" w:rsidR="00537326" w:rsidRPr="005020D0" w:rsidRDefault="00537326" w:rsidP="00537326">
      <w:pPr>
        <w:pStyle w:val="Reference"/>
        <w:rPr>
          <w:iCs/>
        </w:rPr>
      </w:pPr>
    </w:p>
    <w:p w14:paraId="567E6B33" w14:textId="77777777" w:rsidR="00537326" w:rsidRDefault="00537326" w:rsidP="00537326">
      <w:pPr>
        <w:pStyle w:val="Reference"/>
        <w:rPr>
          <w:iCs/>
        </w:rPr>
      </w:pPr>
      <w:r w:rsidRPr="00AA11CC">
        <w:rPr>
          <w:i/>
          <w:iCs/>
        </w:rPr>
        <w:t>The Commissioner of CHRAJ</w:t>
      </w:r>
      <w:r>
        <w:rPr>
          <w:i/>
          <w:iCs/>
        </w:rPr>
        <w:t xml:space="preserve"> and Two Others</w:t>
      </w:r>
      <w:r w:rsidRPr="00AA11CC">
        <w:rPr>
          <w:i/>
          <w:iCs/>
        </w:rPr>
        <w:t xml:space="preserve"> </w:t>
      </w:r>
      <w:r>
        <w:rPr>
          <w:i/>
          <w:iCs/>
        </w:rPr>
        <w:t>v</w:t>
      </w:r>
      <w:r w:rsidRPr="00AA11CC">
        <w:rPr>
          <w:i/>
          <w:iCs/>
        </w:rPr>
        <w:t xml:space="preserve"> Ghana National Fire Service </w:t>
      </w:r>
      <w:r>
        <w:rPr>
          <w:i/>
          <w:iCs/>
        </w:rPr>
        <w:t>and</w:t>
      </w:r>
      <w:r w:rsidRPr="00AA11CC">
        <w:rPr>
          <w:i/>
          <w:iCs/>
        </w:rPr>
        <w:t xml:space="preserve"> Anor</w:t>
      </w:r>
      <w:r>
        <w:rPr>
          <w:iCs/>
        </w:rPr>
        <w:t xml:space="preserve"> 2017 (63) </w:t>
      </w:r>
      <w:r w:rsidRPr="005020D0">
        <w:rPr>
          <w:iCs/>
        </w:rPr>
        <w:t>HR/0063/2017</w:t>
      </w:r>
      <w:r>
        <w:rPr>
          <w:iCs/>
        </w:rPr>
        <w:t>.</w:t>
      </w:r>
    </w:p>
    <w:p w14:paraId="4AE377F7" w14:textId="77777777" w:rsidR="00537326" w:rsidRPr="005020D0" w:rsidRDefault="00537326" w:rsidP="00537326">
      <w:pPr>
        <w:pStyle w:val="Reference"/>
        <w:rPr>
          <w:iCs/>
        </w:rPr>
      </w:pPr>
    </w:p>
    <w:p w14:paraId="137E22EA" w14:textId="77777777" w:rsidR="00537326" w:rsidRDefault="00537326" w:rsidP="00537326">
      <w:pPr>
        <w:pStyle w:val="Reference"/>
      </w:pPr>
      <w:r w:rsidRPr="00AA11CC">
        <w:rPr>
          <w:i/>
          <w:iCs/>
        </w:rPr>
        <w:t>Women Against Violence and Exploitation in Society (WAVES) v The Republic of Sierra Leone</w:t>
      </w:r>
      <w:r w:rsidRPr="005020D0">
        <w:t xml:space="preserve"> </w:t>
      </w:r>
      <w:r>
        <w:t xml:space="preserve">2018 (18) </w:t>
      </w:r>
      <w:r w:rsidRPr="005020D0">
        <w:t>ECW/CCJ/APP/22/18</w:t>
      </w:r>
      <w:r>
        <w:t>.</w:t>
      </w:r>
    </w:p>
    <w:p w14:paraId="690E18DD" w14:textId="77777777" w:rsidR="00537326" w:rsidRPr="00AA11CC" w:rsidRDefault="00537326" w:rsidP="00537326">
      <w:pPr>
        <w:pStyle w:val="Heading2"/>
      </w:pPr>
      <w:r w:rsidRPr="0005669D">
        <w:t xml:space="preserve">Constitution </w:t>
      </w:r>
    </w:p>
    <w:p w14:paraId="5CDCB66B" w14:textId="77777777" w:rsidR="00537326" w:rsidRDefault="00537326" w:rsidP="00537326">
      <w:pPr>
        <w:pStyle w:val="Reference"/>
      </w:pPr>
      <w:r w:rsidRPr="0005669D">
        <w:t>The Constitution of Ghana</w:t>
      </w:r>
      <w:r>
        <w:t>,</w:t>
      </w:r>
      <w:r w:rsidRPr="0005669D">
        <w:t xml:space="preserve"> 1992</w:t>
      </w:r>
      <w:r>
        <w:t>.</w:t>
      </w:r>
    </w:p>
    <w:p w14:paraId="1A4F0270" w14:textId="77777777" w:rsidR="00537326" w:rsidRPr="0005669D" w:rsidRDefault="00537326" w:rsidP="00537326">
      <w:pPr>
        <w:pStyle w:val="Reference"/>
      </w:pPr>
    </w:p>
    <w:p w14:paraId="641D34D0" w14:textId="77777777" w:rsidR="00537326" w:rsidRDefault="00537326" w:rsidP="00537326">
      <w:pPr>
        <w:pStyle w:val="Reference"/>
      </w:pPr>
      <w:r w:rsidRPr="0005669D">
        <w:t>The Constitution of Uganda</w:t>
      </w:r>
      <w:r>
        <w:t>,</w:t>
      </w:r>
      <w:r w:rsidRPr="0005669D">
        <w:t xml:space="preserve"> 1995</w:t>
      </w:r>
      <w:r>
        <w:t>.</w:t>
      </w:r>
    </w:p>
    <w:p w14:paraId="4F7FFD42" w14:textId="77777777" w:rsidR="00537326" w:rsidRPr="0005669D" w:rsidRDefault="00537326" w:rsidP="00537326">
      <w:pPr>
        <w:pStyle w:val="Heading2"/>
      </w:pPr>
      <w:r w:rsidRPr="0005669D">
        <w:t>Legislati</w:t>
      </w:r>
      <w:r>
        <w:t>on</w:t>
      </w:r>
    </w:p>
    <w:p w14:paraId="7C23A3D1" w14:textId="77777777" w:rsidR="00537326" w:rsidRDefault="00537326" w:rsidP="00537326">
      <w:pPr>
        <w:pStyle w:val="Reference"/>
      </w:pPr>
      <w:r w:rsidRPr="0005669D">
        <w:t>Criminal Offences Act of Ghana</w:t>
      </w:r>
      <w:r>
        <w:t>,</w:t>
      </w:r>
      <w:r w:rsidRPr="0005669D">
        <w:t xml:space="preserve"> 1960 (A</w:t>
      </w:r>
      <w:r>
        <w:t>ct</w:t>
      </w:r>
      <w:r w:rsidRPr="0005669D">
        <w:t xml:space="preserve"> 29)</w:t>
      </w:r>
      <w:r>
        <w:t>.</w:t>
      </w:r>
    </w:p>
    <w:p w14:paraId="7E5076C4" w14:textId="77777777" w:rsidR="00537326" w:rsidRPr="0005669D" w:rsidRDefault="00537326" w:rsidP="00537326">
      <w:pPr>
        <w:pStyle w:val="Reference"/>
      </w:pPr>
    </w:p>
    <w:p w14:paraId="6FE9487E" w14:textId="77777777" w:rsidR="00537326" w:rsidRDefault="00537326" w:rsidP="00537326">
      <w:pPr>
        <w:pStyle w:val="Reference"/>
      </w:pPr>
      <w:r w:rsidRPr="0005669D">
        <w:t>Domestic Violence Act of Ghana</w:t>
      </w:r>
      <w:r>
        <w:t>,</w:t>
      </w:r>
      <w:r w:rsidRPr="0005669D">
        <w:t xml:space="preserve"> 2007 (Act 732)</w:t>
      </w:r>
      <w:r>
        <w:t>.</w:t>
      </w:r>
    </w:p>
    <w:p w14:paraId="638EFD63" w14:textId="77777777" w:rsidR="00537326" w:rsidRPr="0005669D" w:rsidRDefault="00537326" w:rsidP="00537326">
      <w:pPr>
        <w:pStyle w:val="Reference"/>
      </w:pPr>
    </w:p>
    <w:p w14:paraId="7F9BA34A" w14:textId="77777777" w:rsidR="00537326" w:rsidRDefault="00537326" w:rsidP="00537326">
      <w:pPr>
        <w:pStyle w:val="Reference"/>
      </w:pPr>
      <w:r w:rsidRPr="0005669D">
        <w:t>Labour Act 2003 of Ghana (Act 651)</w:t>
      </w:r>
      <w:r>
        <w:t>.</w:t>
      </w:r>
    </w:p>
    <w:p w14:paraId="10D45668" w14:textId="77777777" w:rsidR="00537326" w:rsidRPr="0005669D" w:rsidRDefault="00537326" w:rsidP="00537326">
      <w:pPr>
        <w:pStyle w:val="Reference"/>
      </w:pPr>
    </w:p>
    <w:p w14:paraId="3D038576" w14:textId="77777777" w:rsidR="00537326" w:rsidRDefault="00537326" w:rsidP="00537326">
      <w:pPr>
        <w:pStyle w:val="Reference"/>
      </w:pPr>
      <w:r w:rsidRPr="0005669D">
        <w:t xml:space="preserve">Matrimonial Causes Act </w:t>
      </w:r>
      <w:r>
        <w:t xml:space="preserve">1971 </w:t>
      </w:r>
      <w:r w:rsidRPr="0005669D">
        <w:t>of Ghana (Act 367)</w:t>
      </w:r>
      <w:r>
        <w:t>.</w:t>
      </w:r>
    </w:p>
    <w:p w14:paraId="4B23C3C0" w14:textId="77777777" w:rsidR="00537326" w:rsidRPr="0005669D" w:rsidRDefault="00537326" w:rsidP="00537326">
      <w:pPr>
        <w:pStyle w:val="Reference"/>
      </w:pPr>
    </w:p>
    <w:p w14:paraId="36198C52" w14:textId="77777777" w:rsidR="00537326" w:rsidRDefault="00537326" w:rsidP="00537326">
      <w:pPr>
        <w:pStyle w:val="Reference"/>
      </w:pPr>
      <w:r w:rsidRPr="0005669D">
        <w:t>The Law of Marriage Act</w:t>
      </w:r>
      <w:r>
        <w:t xml:space="preserve"> 1971 of</w:t>
      </w:r>
      <w:r w:rsidRPr="0005669D">
        <w:t xml:space="preserve"> Tanzania [Cap 29 RE 2002].</w:t>
      </w:r>
    </w:p>
    <w:p w14:paraId="0D28EB07" w14:textId="77777777" w:rsidR="00537326" w:rsidRPr="0005669D" w:rsidRDefault="00537326" w:rsidP="00537326">
      <w:pPr>
        <w:pStyle w:val="Heading2"/>
      </w:pPr>
      <w:r w:rsidRPr="0005669D">
        <w:t>International Treaties and Conventions</w:t>
      </w:r>
    </w:p>
    <w:p w14:paraId="75CD18B9" w14:textId="77777777" w:rsidR="00537326" w:rsidRDefault="00537326" w:rsidP="007462C6">
      <w:pPr>
        <w:pStyle w:val="Reference"/>
      </w:pPr>
      <w:r w:rsidRPr="0005669D">
        <w:t>African (Banjul) Charter on Human and Peoples</w:t>
      </w:r>
      <w:r>
        <w:t>’</w:t>
      </w:r>
      <w:r w:rsidRPr="0005669D">
        <w:t xml:space="preserve"> Rights adopted 27 June 1981, OAU Doc. CAB/LEG/67/3 rev. 5, 21 I.L.M. 58 (1982), entered into force 21 October 1986</w:t>
      </w:r>
      <w:r>
        <w:t>.</w:t>
      </w:r>
    </w:p>
    <w:p w14:paraId="583A5F5A" w14:textId="77777777" w:rsidR="00537326" w:rsidRPr="0005669D" w:rsidRDefault="00537326" w:rsidP="00537326">
      <w:pPr>
        <w:pStyle w:val="Reference"/>
      </w:pPr>
    </w:p>
    <w:p w14:paraId="5268DA22" w14:textId="77777777" w:rsidR="00537326" w:rsidRDefault="00537326" w:rsidP="00537326">
      <w:pPr>
        <w:pStyle w:val="Reference"/>
      </w:pPr>
      <w:r w:rsidRPr="0005669D">
        <w:t xml:space="preserve">Protocol to the African Charter on Human </w:t>
      </w:r>
      <w:r>
        <w:t>a</w:t>
      </w:r>
      <w:r w:rsidRPr="0005669D">
        <w:t>nd Peoples</w:t>
      </w:r>
      <w:r>
        <w:t>’</w:t>
      </w:r>
      <w:r w:rsidRPr="0005669D">
        <w:t xml:space="preserve"> Rights on The Rights of Women in Africa Adopted by the 2nd Ordinary Session of the Assembly of the Union</w:t>
      </w:r>
      <w:r>
        <w:t>.</w:t>
      </w:r>
      <w:r w:rsidRPr="0005669D">
        <w:t xml:space="preserve"> </w:t>
      </w:r>
    </w:p>
    <w:p w14:paraId="1B852D69" w14:textId="77777777" w:rsidR="00537326" w:rsidRDefault="00537326" w:rsidP="00537326">
      <w:pPr>
        <w:pStyle w:val="Reference"/>
      </w:pPr>
    </w:p>
    <w:p w14:paraId="08094CD9" w14:textId="63080B88" w:rsidR="002B6C6B" w:rsidRPr="0037059F" w:rsidRDefault="00537326" w:rsidP="007462C6">
      <w:pPr>
        <w:pStyle w:val="Reference"/>
      </w:pPr>
      <w:r w:rsidRPr="00794B48">
        <w:lastRenderedPageBreak/>
        <w:t>The UN</w:t>
      </w:r>
      <w:r>
        <w:t>’</w:t>
      </w:r>
      <w:r w:rsidRPr="00794B48">
        <w:t>s CEDAW/C/GC/30 Convention on the Elimination of all Forms of Discrimination Against Women 1979 was adopted and opened for signature, ratification, and accession by General Assembly resolution 34/180 (CEDAW)</w:t>
      </w:r>
      <w:r>
        <w:t>.</w:t>
      </w:r>
    </w:p>
    <w:sectPr w:rsidR="002B6C6B" w:rsidRPr="0037059F" w:rsidSect="008B5960">
      <w:headerReference w:type="even" r:id="rId41"/>
      <w:headerReference w:type="default" r:id="rId42"/>
      <w:footerReference w:type="even" r:id="rId43"/>
      <w:footerReference w:type="default" r:id="rId44"/>
      <w:headerReference w:type="first" r:id="rId45"/>
      <w:footerReference w:type="first" r:id="rId46"/>
      <w:pgSz w:w="9923" w:h="13608"/>
      <w:pgMar w:top="1134" w:right="1134" w:bottom="851" w:left="1134" w:header="709"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462A" w14:textId="77777777" w:rsidR="002C12DF" w:rsidRDefault="002C12DF" w:rsidP="00B6689E">
      <w:r>
        <w:separator/>
      </w:r>
    </w:p>
  </w:endnote>
  <w:endnote w:type="continuationSeparator" w:id="0">
    <w:p w14:paraId="668DBFC5" w14:textId="77777777" w:rsidR="002C12DF" w:rsidRDefault="002C12DF" w:rsidP="00B6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Poppins">
    <w:charset w:val="00"/>
    <w:family w:val="auto"/>
    <w:pitch w:val="variable"/>
    <w:sig w:usb0="00008007" w:usb1="00000000" w:usb2="00000000" w:usb3="00000000" w:csb0="00000093" w:csb1="00000000"/>
  </w:font>
  <w:font w:name="Houschka-MediumItalic">
    <w:altName w:val="Calibri"/>
    <w:charset w:val="00"/>
    <w:family w:val="auto"/>
    <w:pitch w:val="default"/>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A731" w14:textId="77777777" w:rsidR="00986427" w:rsidRDefault="00986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861482"/>
      <w:docPartObj>
        <w:docPartGallery w:val="Page Numbers (Bottom of Page)"/>
        <w:docPartUnique/>
      </w:docPartObj>
    </w:sdtPr>
    <w:sdtEndPr>
      <w:rPr>
        <w:noProof/>
      </w:rPr>
    </w:sdtEndPr>
    <w:sdtContent>
      <w:p w14:paraId="30EE40AB" w14:textId="7A68D019" w:rsidR="00BC707F" w:rsidRDefault="00BC707F" w:rsidP="003F5E83">
        <w:pPr>
          <w:pStyle w:val="PageNumberp2"/>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5"/>
      <w:gridCol w:w="3402"/>
    </w:tblGrid>
    <w:tr w:rsidR="00BC707F" w:rsidRPr="003F5E83" w14:paraId="6AB2DD37" w14:textId="77777777" w:rsidTr="007A1A8F">
      <w:tc>
        <w:tcPr>
          <w:tcW w:w="7655" w:type="dxa"/>
          <w:gridSpan w:val="3"/>
        </w:tcPr>
        <w:p w14:paraId="1680EA8D" w14:textId="77777777" w:rsidR="00BC707F" w:rsidRPr="003F5E83" w:rsidRDefault="00BC707F" w:rsidP="003F5E83">
          <w:pPr>
            <w:tabs>
              <w:tab w:val="center" w:pos="4680"/>
              <w:tab w:val="right" w:pos="9360"/>
            </w:tabs>
            <w:spacing w:after="0" w:line="240" w:lineRule="auto"/>
            <w:rPr>
              <w:noProof/>
              <w:sz w:val="16"/>
              <w:szCs w:val="16"/>
              <w:lang w:val="en-US"/>
            </w:rPr>
          </w:pPr>
        </w:p>
      </w:tc>
    </w:tr>
    <w:tr w:rsidR="00BC707F" w:rsidRPr="003F5E83" w14:paraId="4D3C42E7" w14:textId="77777777" w:rsidTr="007A1A8F">
      <w:tc>
        <w:tcPr>
          <w:tcW w:w="7655" w:type="dxa"/>
          <w:gridSpan w:val="3"/>
        </w:tcPr>
        <w:p w14:paraId="6ADD7772" w14:textId="77777777" w:rsidR="00BC707F" w:rsidRPr="003F5E83" w:rsidRDefault="00BC707F" w:rsidP="003F5E83">
          <w:pPr>
            <w:tabs>
              <w:tab w:val="center" w:pos="4680"/>
              <w:tab w:val="right" w:pos="9360"/>
            </w:tabs>
            <w:spacing w:after="0" w:line="240" w:lineRule="auto"/>
            <w:rPr>
              <w:sz w:val="10"/>
              <w:szCs w:val="10"/>
            </w:rPr>
          </w:pPr>
          <w:r>
            <w:rPr>
              <w:noProof/>
              <w:sz w:val="10"/>
              <w:szCs w:val="10"/>
              <w:lang w:val="de-DE" w:eastAsia="de-DE"/>
            </w:rPr>
            <w:drawing>
              <wp:inline distT="0" distB="0" distL="0" distR="0" wp14:anchorId="379C1FB0" wp14:editId="7B78780E">
                <wp:extent cx="792000" cy="2127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92000" cy="212708"/>
                        </a:xfrm>
                        <a:prstGeom prst="rect">
                          <a:avLst/>
                        </a:prstGeom>
                      </pic:spPr>
                    </pic:pic>
                  </a:graphicData>
                </a:graphic>
              </wp:inline>
            </w:drawing>
          </w:r>
        </w:p>
      </w:tc>
    </w:tr>
    <w:tr w:rsidR="00BC707F" w:rsidRPr="003F5E83" w14:paraId="7602E994" w14:textId="77777777" w:rsidTr="007A1A8F">
      <w:tc>
        <w:tcPr>
          <w:tcW w:w="4253" w:type="dxa"/>
          <w:gridSpan w:val="2"/>
        </w:tcPr>
        <w:p w14:paraId="1BDF86BD" w14:textId="58CF4ADA" w:rsidR="00BC707F" w:rsidRPr="003F5E83" w:rsidRDefault="00BC707F" w:rsidP="00630EF4">
          <w:pPr>
            <w:pStyle w:val="FirstPageMetadata"/>
          </w:pPr>
          <w:r w:rsidRPr="008B14AF">
            <w:t>Southern African Public Law</w:t>
          </w:r>
        </w:p>
      </w:tc>
      <w:tc>
        <w:tcPr>
          <w:tcW w:w="3402" w:type="dxa"/>
        </w:tcPr>
        <w:p w14:paraId="6940CCEF" w14:textId="320402ED" w:rsidR="00BC707F" w:rsidRPr="003F5E83" w:rsidRDefault="00BC707F" w:rsidP="00630EF4">
          <w:pPr>
            <w:pStyle w:val="FirstPageMetadata"/>
            <w:jc w:val="right"/>
          </w:pPr>
          <w:r w:rsidRPr="008B14AF">
            <w:t>https://doi.org/10.25159/2522-6800/</w:t>
          </w:r>
          <w:r w:rsidR="00BF4344">
            <w:t>16136</w:t>
          </w:r>
        </w:p>
      </w:tc>
    </w:tr>
    <w:tr w:rsidR="00BC707F" w:rsidRPr="003F5E83" w14:paraId="0677EB6A" w14:textId="77777777" w:rsidTr="00986427">
      <w:tc>
        <w:tcPr>
          <w:tcW w:w="3828" w:type="dxa"/>
        </w:tcPr>
        <w:p w14:paraId="68C7BD29" w14:textId="4680E721" w:rsidR="00BC707F" w:rsidRPr="003F5E83" w:rsidRDefault="00986427" w:rsidP="00686D12">
          <w:pPr>
            <w:pStyle w:val="FirstPageMetadata"/>
          </w:pPr>
          <w:r w:rsidRPr="00986427">
            <w:rPr>
              <w:lang w:val="en-GB"/>
            </w:rPr>
            <w:t xml:space="preserve">Volume 39 | Number 1–2 | 2024 | </w:t>
          </w:r>
          <w:r w:rsidR="00686D12" w:rsidRPr="008B14AF">
            <w:t>#</w:t>
          </w:r>
          <w:r w:rsidR="00686D12">
            <w:t>1</w:t>
          </w:r>
          <w:r w:rsidR="00BF4344">
            <w:t>6136</w:t>
          </w:r>
          <w:r w:rsidR="00686D12" w:rsidRPr="008B14AF">
            <w:t xml:space="preserve"> | </w:t>
          </w:r>
          <w:r w:rsidR="00686D12" w:rsidRPr="008B14AF">
            <w:fldChar w:fldCharType="begin"/>
          </w:r>
          <w:r w:rsidR="00686D12" w:rsidRPr="008B14AF">
            <w:instrText xml:space="preserve"> NUMPAGES  \# "0" \* Arabic  \* MERGEFORMAT </w:instrText>
          </w:r>
          <w:r w:rsidR="00686D12" w:rsidRPr="008B14AF">
            <w:fldChar w:fldCharType="separate"/>
          </w:r>
          <w:r w:rsidR="00686D12">
            <w:t>20</w:t>
          </w:r>
          <w:r w:rsidR="00686D12" w:rsidRPr="008B14AF">
            <w:fldChar w:fldCharType="end"/>
          </w:r>
          <w:r w:rsidR="00686D12" w:rsidRPr="008B14AF">
            <w:t xml:space="preserve"> pages</w:t>
          </w:r>
        </w:p>
      </w:tc>
      <w:tc>
        <w:tcPr>
          <w:tcW w:w="3827" w:type="dxa"/>
          <w:gridSpan w:val="2"/>
        </w:tcPr>
        <w:p w14:paraId="51B0CB66" w14:textId="49F76834" w:rsidR="00BC707F" w:rsidRPr="003F5E83" w:rsidRDefault="00BC707F" w:rsidP="00630EF4">
          <w:pPr>
            <w:pStyle w:val="FirstPageMetadata"/>
            <w:jc w:val="right"/>
          </w:pPr>
          <w:r w:rsidRPr="008B14AF">
            <w:t>ISSN 2522-6800 (Online), 2219-6412 (Print)</w:t>
          </w:r>
        </w:p>
      </w:tc>
    </w:tr>
    <w:tr w:rsidR="00BC707F" w:rsidRPr="003F5E83" w14:paraId="1501B585" w14:textId="77777777" w:rsidTr="007A1A8F">
      <w:trPr>
        <w:trHeight w:val="202"/>
      </w:trPr>
      <w:tc>
        <w:tcPr>
          <w:tcW w:w="4253" w:type="dxa"/>
          <w:gridSpan w:val="2"/>
        </w:tcPr>
        <w:p w14:paraId="418EEF70" w14:textId="43B52E0E" w:rsidR="0083730C" w:rsidRPr="003F5E83" w:rsidRDefault="0083730C" w:rsidP="00686D12">
          <w:pPr>
            <w:pStyle w:val="FirstPageMetadata"/>
          </w:pPr>
        </w:p>
      </w:tc>
      <w:tc>
        <w:tcPr>
          <w:tcW w:w="3402" w:type="dxa"/>
        </w:tcPr>
        <w:p w14:paraId="2D9A56D3" w14:textId="3FBFB5D5" w:rsidR="00BC707F" w:rsidRPr="003F5E83" w:rsidRDefault="00BC707F" w:rsidP="00630EF4">
          <w:pPr>
            <w:pStyle w:val="FirstPageMetadata"/>
            <w:jc w:val="right"/>
          </w:pPr>
          <w:r w:rsidRPr="008B14AF">
            <w:t xml:space="preserve">© </w:t>
          </w:r>
          <w:r w:rsidR="008169A8">
            <w:t>The Author</w:t>
          </w:r>
          <w:r w:rsidR="00686D12">
            <w:t>(s)</w:t>
          </w:r>
          <w:r w:rsidRPr="008B14AF">
            <w:t xml:space="preserve"> </w:t>
          </w:r>
          <w:r w:rsidR="00986427">
            <w:rPr>
              <w:noProof/>
            </w:rPr>
            <w:t>202</w:t>
          </w:r>
          <w:r w:rsidR="00986427">
            <w:rPr>
              <w:noProof/>
            </w:rPr>
            <w:t>4</w:t>
          </w:r>
        </w:p>
      </w:tc>
    </w:tr>
  </w:tbl>
  <w:tbl>
    <w:tblPr>
      <w:tblpPr w:leftFromText="180" w:rightFromText="180" w:vertAnchor="text" w:tblpY="1"/>
      <w:tblOverlap w:val="never"/>
      <w:tblW w:w="0" w:type="auto"/>
      <w:tblLook w:val="04A0" w:firstRow="1" w:lastRow="0" w:firstColumn="1" w:lastColumn="0" w:noHBand="0" w:noVBand="1"/>
    </w:tblPr>
    <w:tblGrid>
      <w:gridCol w:w="1536"/>
      <w:gridCol w:w="6109"/>
    </w:tblGrid>
    <w:tr w:rsidR="00BC707F" w:rsidRPr="000951A3" w14:paraId="3CC2296D" w14:textId="77777777" w:rsidTr="007A1A8F">
      <w:trPr>
        <w:trHeight w:val="450"/>
      </w:trPr>
      <w:tc>
        <w:tcPr>
          <w:tcW w:w="1536" w:type="dxa"/>
          <w:shd w:val="clear" w:color="auto" w:fill="auto"/>
        </w:tcPr>
        <w:p w14:paraId="7D9D7320" w14:textId="77777777" w:rsidR="00BC707F" w:rsidRPr="003B4E4C" w:rsidRDefault="00BC707F" w:rsidP="007A1A8F">
          <w:pPr>
            <w:widowControl w:val="0"/>
            <w:shd w:val="clear" w:color="auto" w:fill="FFFFFF"/>
            <w:spacing w:after="0" w:line="240" w:lineRule="auto"/>
            <w:rPr>
              <w:rFonts w:cs="Arial"/>
              <w:sz w:val="16"/>
              <w:szCs w:val="16"/>
              <w:lang w:eastAsia="en-GB"/>
            </w:rPr>
          </w:pPr>
          <w:r>
            <w:rPr>
              <w:rFonts w:cs="Arial"/>
              <w:noProof/>
              <w:sz w:val="16"/>
              <w:szCs w:val="16"/>
              <w:lang w:val="en-ZA" w:eastAsia="en-ZA"/>
            </w:rPr>
            <w:drawing>
              <wp:inline distT="0" distB="0" distL="0" distR="0" wp14:anchorId="57A2981C" wp14:editId="13B26116">
                <wp:extent cx="838200" cy="2971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c>
        <w:tcPr>
          <w:tcW w:w="6109" w:type="dxa"/>
          <w:shd w:val="clear" w:color="auto" w:fill="auto"/>
        </w:tcPr>
        <w:p w14:paraId="1C567B3A" w14:textId="77777777" w:rsidR="00BC707F" w:rsidRPr="000951A3" w:rsidRDefault="00BC707F" w:rsidP="007A1A8F">
          <w:pPr>
            <w:pStyle w:val="FirstPageMetadata"/>
            <w:rPr>
              <w:lang w:eastAsia="en-GB"/>
            </w:rPr>
          </w:pPr>
          <w:r>
            <w:rPr>
              <w:lang w:eastAsia="en-GB"/>
            </w:rPr>
            <w:t xml:space="preserve">Published by </w:t>
          </w:r>
          <w:r w:rsidRPr="003B4E4C">
            <w:rPr>
              <w:lang w:eastAsia="en-GB"/>
            </w:rPr>
            <w:t>Unisa Press. This is an Open Access article distributed under the terms of the Creative Commons Attribution-</w:t>
          </w:r>
          <w:proofErr w:type="spellStart"/>
          <w:r w:rsidRPr="003B4E4C">
            <w:rPr>
              <w:lang w:eastAsia="en-GB"/>
            </w:rPr>
            <w:t>ShareAlike</w:t>
          </w:r>
          <w:proofErr w:type="spellEnd"/>
          <w:r w:rsidRPr="003B4E4C">
            <w:rPr>
              <w:lang w:eastAsia="en-GB"/>
            </w:rPr>
            <w:t xml:space="preserve"> 4.0 International License (</w:t>
          </w:r>
          <w:hyperlink r:id="rId3" w:history="1">
            <w:r w:rsidRPr="00916B2A">
              <w:rPr>
                <w:lang w:eastAsia="en-GB"/>
              </w:rPr>
              <w:t>https://creativecommons.org/licenses/by-sa/4.0/</w:t>
            </w:r>
          </w:hyperlink>
          <w:r w:rsidRPr="003B4E4C">
            <w:rPr>
              <w:lang w:eastAsia="en-GB"/>
            </w:rPr>
            <w:t>)</w:t>
          </w:r>
        </w:p>
      </w:tc>
    </w:tr>
  </w:tbl>
  <w:p w14:paraId="7FBC0DC4" w14:textId="77777777" w:rsidR="00BC707F" w:rsidRPr="006A3533" w:rsidRDefault="00BC707F" w:rsidP="003F5E83">
    <w:pPr>
      <w:pStyle w:val="FirstPageMetadat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50C8" w14:textId="77777777" w:rsidR="002C12DF" w:rsidRPr="00FB1B51" w:rsidRDefault="002C12DF" w:rsidP="001017E7">
      <w:pPr>
        <w:spacing w:after="0" w:line="240" w:lineRule="auto"/>
        <w:rPr>
          <w:rFonts w:asciiTheme="majorBidi" w:hAnsiTheme="majorBidi" w:cstheme="majorBidi"/>
          <w:sz w:val="20"/>
          <w:szCs w:val="20"/>
        </w:rPr>
      </w:pPr>
      <w:r w:rsidRPr="00FB1B51">
        <w:rPr>
          <w:rFonts w:asciiTheme="majorBidi" w:hAnsiTheme="majorBidi" w:cstheme="majorBidi"/>
          <w:sz w:val="20"/>
          <w:szCs w:val="20"/>
        </w:rPr>
        <w:separator/>
      </w:r>
    </w:p>
  </w:footnote>
  <w:footnote w:type="continuationSeparator" w:id="0">
    <w:p w14:paraId="22812FEE" w14:textId="77777777" w:rsidR="002C12DF" w:rsidRDefault="002C12DF" w:rsidP="00B6689E">
      <w:r>
        <w:continuationSeparator/>
      </w:r>
    </w:p>
  </w:footnote>
  <w:footnote w:id="1">
    <w:p w14:paraId="1A1AC180" w14:textId="77777777" w:rsidR="00537326" w:rsidRPr="008522FC" w:rsidRDefault="00537326" w:rsidP="00537326">
      <w:pPr>
        <w:pStyle w:val="Footnote"/>
      </w:pPr>
      <w:r w:rsidRPr="008522FC">
        <w:rPr>
          <w:rStyle w:val="FootnoteReference"/>
          <w:vertAlign w:val="baseline"/>
        </w:rPr>
        <w:footnoteRef/>
      </w:r>
      <w:r w:rsidRPr="008522FC">
        <w:t xml:space="preserve"> </w:t>
      </w:r>
      <w:r>
        <w:tab/>
      </w:r>
      <w:r w:rsidRPr="008522FC">
        <w:t>Amnesty International</w:t>
      </w:r>
      <w:r>
        <w:t xml:space="preserve">, </w:t>
      </w:r>
      <w:r w:rsidRPr="00171569">
        <w:rPr>
          <w:i/>
          <w:iCs/>
        </w:rPr>
        <w:t xml:space="preserve">The State </w:t>
      </w:r>
      <w:r>
        <w:rPr>
          <w:i/>
          <w:iCs/>
        </w:rPr>
        <w:t>o</w:t>
      </w:r>
      <w:r w:rsidRPr="00171569">
        <w:rPr>
          <w:i/>
          <w:iCs/>
        </w:rPr>
        <w:t xml:space="preserve">f </w:t>
      </w:r>
      <w:r>
        <w:rPr>
          <w:i/>
          <w:iCs/>
        </w:rPr>
        <w:t>t</w:t>
      </w:r>
      <w:r w:rsidRPr="00171569">
        <w:rPr>
          <w:i/>
          <w:iCs/>
        </w:rPr>
        <w:t>he World’s Human Rights</w:t>
      </w:r>
      <w:r w:rsidRPr="008522FC">
        <w:t xml:space="preserve"> (2023) 179 </w:t>
      </w:r>
      <w:r>
        <w:t>&lt;</w:t>
      </w:r>
      <w:hyperlink r:id="rId1" w:history="1">
        <w:r w:rsidRPr="006C675E">
          <w:rPr>
            <w:rStyle w:val="Hyperlink"/>
          </w:rPr>
          <w:t>https://www.amnesty.org/en/location/africa/report-africa/</w:t>
        </w:r>
      </w:hyperlink>
      <w:r>
        <w:t xml:space="preserve">&gt; </w:t>
      </w:r>
      <w:r w:rsidRPr="008522FC">
        <w:t>accessed 23 Apil 2024; The Commission on Human Rights and Administrative Justice (CHRAJ)</w:t>
      </w:r>
      <w:r>
        <w:t>,</w:t>
      </w:r>
      <w:r w:rsidRPr="008522FC">
        <w:t xml:space="preserve"> </w:t>
      </w:r>
      <w:r w:rsidRPr="00171569">
        <w:rPr>
          <w:i/>
          <w:iCs/>
        </w:rPr>
        <w:t xml:space="preserve">Baseline Study Report on Access to Justice and Gender Based Violence Against Elderly Women Alleged As Witches in Ghana A Research Project by the Commission on Human Rights and Administrative Justice </w:t>
      </w:r>
      <w:r w:rsidRPr="00397E59">
        <w:t>(</w:t>
      </w:r>
      <w:r w:rsidRPr="008522FC">
        <w:t xml:space="preserve">2022) </w:t>
      </w:r>
      <w:r>
        <w:t>&lt;</w:t>
      </w:r>
      <w:hyperlink r:id="rId2" w:history="1">
        <w:r w:rsidRPr="006C675E">
          <w:rPr>
            <w:rStyle w:val="Hyperlink"/>
          </w:rPr>
          <w:t>https://chraj.gov.gh/wp-content/uploads/2022/05/Baseline-Study-Report-Access-to-Justice-Project.pdf</w:t>
        </w:r>
      </w:hyperlink>
      <w:r>
        <w:t>&gt;</w:t>
      </w:r>
      <w:r w:rsidRPr="008522FC">
        <w:t xml:space="preserve"> accessed 23 April 2024</w:t>
      </w:r>
      <w:r>
        <w:t>.</w:t>
      </w:r>
      <w:r w:rsidRPr="008522FC">
        <w:t xml:space="preserve"> </w:t>
      </w:r>
    </w:p>
  </w:footnote>
  <w:footnote w:id="2">
    <w:p w14:paraId="0F7E0C17" w14:textId="77777777" w:rsidR="00537326" w:rsidRPr="00CC1003" w:rsidRDefault="00537326" w:rsidP="00537326">
      <w:pPr>
        <w:pStyle w:val="Footnote"/>
      </w:pPr>
      <w:bookmarkStart w:id="2" w:name="_Hlk128400089"/>
      <w:r w:rsidRPr="00AA11C5">
        <w:t>2</w:t>
      </w:r>
      <w:r>
        <w:tab/>
      </w:r>
      <w:r w:rsidRPr="00AA11C5">
        <w:t>Th</w:t>
      </w:r>
      <w:r w:rsidRPr="00CC1003">
        <w:t>e Constitution of Ghana 1992, art 12(2).</w:t>
      </w:r>
      <w:bookmarkEnd w:id="2"/>
    </w:p>
  </w:footnote>
  <w:footnote w:id="3">
    <w:p w14:paraId="71A297DB" w14:textId="77777777" w:rsidR="00537326" w:rsidRPr="00CC1003" w:rsidRDefault="00537326" w:rsidP="00537326">
      <w:pPr>
        <w:pStyle w:val="Footnote"/>
      </w:pPr>
      <w:r w:rsidRPr="005A59C6">
        <w:t>3</w:t>
      </w:r>
      <w:r>
        <w:rPr>
          <w:rFonts w:ascii="Tahoma" w:hAnsi="Tahoma" w:cs="Tahoma"/>
          <w:sz w:val="20"/>
        </w:rPr>
        <w:tab/>
      </w:r>
      <w:r w:rsidRPr="00CC1003">
        <w:t>Matrimonial Causes Act of Ghana 367 1971; Domestic Violence Act of Ghana 732 2007; Criminal Offences Act of Ghana 29 1960.</w:t>
      </w:r>
    </w:p>
    <w:bookmarkStart w:id="3" w:name="_heading=h.3rdcrjn" w:colFirst="0" w:colLast="0"/>
    <w:bookmarkEnd w:id="3"/>
  </w:footnote>
  <w:footnote w:id="4">
    <w:p w14:paraId="05A8B408" w14:textId="77777777" w:rsidR="00537326" w:rsidRPr="00CC1003" w:rsidRDefault="00537326" w:rsidP="00537326">
      <w:pPr>
        <w:pStyle w:val="Footnote"/>
        <w:rPr>
          <w:b/>
          <w:bCs/>
          <w:lang w:val="en-ZA"/>
        </w:rPr>
      </w:pPr>
      <w:bookmarkStart w:id="4" w:name="_heading=h.3rdcrjn" w:colFirst="0" w:colLast="0"/>
      <w:bookmarkEnd w:id="4"/>
      <w:r w:rsidRPr="008522FC">
        <w:footnoteRef/>
      </w:r>
      <w:bookmarkStart w:id="5" w:name="_Hlk128393876"/>
      <w:r w:rsidRPr="008522FC">
        <w:t xml:space="preserve"> </w:t>
      </w:r>
      <w:r>
        <w:tab/>
      </w:r>
      <w:r w:rsidRPr="008522FC">
        <w:t>John Burgess and Desmond</w:t>
      </w:r>
      <w:r>
        <w:t xml:space="preserve"> </w:t>
      </w:r>
      <w:proofErr w:type="spellStart"/>
      <w:r w:rsidRPr="008522FC">
        <w:t>Ayentimi</w:t>
      </w:r>
      <w:proofErr w:type="spellEnd"/>
      <w:r>
        <w:t>,</w:t>
      </w:r>
      <w:r w:rsidRPr="008522FC">
        <w:t xml:space="preserve"> ‘Women in Ghana: </w:t>
      </w:r>
      <w:r>
        <w:t>P</w:t>
      </w:r>
      <w:r w:rsidRPr="008522FC">
        <w:t xml:space="preserve">rogress, </w:t>
      </w:r>
      <w:r>
        <w:t>B</w:t>
      </w:r>
      <w:r w:rsidRPr="008522FC">
        <w:t xml:space="preserve">ut </w:t>
      </w:r>
      <w:r>
        <w:t>I</w:t>
      </w:r>
      <w:r w:rsidRPr="008522FC">
        <w:t xml:space="preserve">mportant </w:t>
      </w:r>
      <w:r>
        <w:t>C</w:t>
      </w:r>
      <w:r w:rsidRPr="008522FC">
        <w:t>hallenges </w:t>
      </w:r>
      <w:r>
        <w:t>R</w:t>
      </w:r>
      <w:r w:rsidRPr="008522FC">
        <w:t xml:space="preserve">emain’ </w:t>
      </w:r>
      <w:r w:rsidRPr="00171569">
        <w:rPr>
          <w:i/>
          <w:iCs/>
        </w:rPr>
        <w:t>The Conversation</w:t>
      </w:r>
      <w:r w:rsidRPr="008522FC">
        <w:t xml:space="preserve"> (6 March 2020) </w:t>
      </w:r>
      <w:r>
        <w:t>&lt;</w:t>
      </w:r>
      <w:hyperlink r:id="rId3" w:history="1">
        <w:r w:rsidRPr="00B13AC3">
          <w:rPr>
            <w:rStyle w:val="Hyperlink"/>
            <w:rFonts w:eastAsia="Helvetica Neue"/>
          </w:rPr>
          <w:t>https://theconversation.com/women-in-ghana-progress-but-important-challenges-remain-130065</w:t>
        </w:r>
      </w:hyperlink>
      <w:r>
        <w:rPr>
          <w:rFonts w:eastAsia="Helvetica Neue"/>
        </w:rPr>
        <w:t>&gt;</w:t>
      </w:r>
      <w:r w:rsidRPr="008522FC">
        <w:rPr>
          <w:rFonts w:eastAsia="Helvetica Neue"/>
        </w:rPr>
        <w:t xml:space="preserve"> </w:t>
      </w:r>
      <w:r w:rsidRPr="008522FC">
        <w:t>accessed 2 February 2024</w:t>
      </w:r>
      <w:r w:rsidRPr="00CC1003">
        <w:t>.</w:t>
      </w:r>
      <w:bookmarkEnd w:id="5"/>
    </w:p>
  </w:footnote>
  <w:footnote w:id="5">
    <w:p w14:paraId="340F59F8" w14:textId="77777777" w:rsidR="00537326" w:rsidRPr="008522FC" w:rsidRDefault="00537326" w:rsidP="00537326">
      <w:pPr>
        <w:pStyle w:val="Footnote"/>
      </w:pPr>
      <w:r>
        <w:t>5</w:t>
      </w:r>
      <w:r>
        <w:tab/>
      </w:r>
      <w:proofErr w:type="spellStart"/>
      <w:r w:rsidRPr="00CC1003">
        <w:t>Dzodzi</w:t>
      </w:r>
      <w:proofErr w:type="spellEnd"/>
      <w:r w:rsidRPr="00CC1003">
        <w:t xml:space="preserve"> Tsikata</w:t>
      </w:r>
      <w:r>
        <w:t>,</w:t>
      </w:r>
      <w:r w:rsidRPr="00CC1003">
        <w:t xml:space="preserve"> </w:t>
      </w:r>
      <w:r w:rsidRPr="00397E59">
        <w:rPr>
          <w:i/>
          <w:iCs/>
        </w:rPr>
        <w:t>Affirmative Action and the Prospects for Gender Equality in Ghanaian Politics</w:t>
      </w:r>
      <w:r w:rsidRPr="00CC1003">
        <w:t xml:space="preserve"> </w:t>
      </w:r>
      <w:r>
        <w:t>(</w:t>
      </w:r>
      <w:proofErr w:type="spellStart"/>
      <w:r w:rsidRPr="00CC1003">
        <w:t>Abantu</w:t>
      </w:r>
      <w:proofErr w:type="spellEnd"/>
      <w:r w:rsidRPr="00CC1003">
        <w:t xml:space="preserve">, </w:t>
      </w:r>
      <w:r w:rsidRPr="008522FC">
        <w:t>Women in Broadcasting and the Friedrich-Ebert-Stiftung</w:t>
      </w:r>
      <w:r>
        <w:t xml:space="preserve"> </w:t>
      </w:r>
      <w:r w:rsidRPr="008522FC">
        <w:t xml:space="preserve">2009) 25 </w:t>
      </w:r>
      <w:r>
        <w:t>&lt;</w:t>
      </w:r>
      <w:hyperlink r:id="rId4" w:history="1">
        <w:r w:rsidRPr="00B13AC3">
          <w:rPr>
            <w:rStyle w:val="Hyperlink"/>
          </w:rPr>
          <w:t>https://library.fes.de/pdf-files/bueros/ghana/10484.pdf</w:t>
        </w:r>
      </w:hyperlink>
      <w:r>
        <w:t>&gt;</w:t>
      </w:r>
      <w:r w:rsidRPr="008522FC">
        <w:t xml:space="preserve">  accessed 2 February 2024.</w:t>
      </w:r>
    </w:p>
  </w:footnote>
  <w:footnote w:id="6">
    <w:p w14:paraId="4BFB4860" w14:textId="77777777" w:rsidR="00537326" w:rsidRPr="008522FC" w:rsidRDefault="00537326" w:rsidP="00537326">
      <w:pPr>
        <w:pStyle w:val="Footnote"/>
      </w:pPr>
      <w:r w:rsidRPr="008522FC">
        <w:rPr>
          <w:rStyle w:val="FootnoteReference"/>
          <w:vertAlign w:val="baseline"/>
        </w:rPr>
        <w:footnoteRef/>
      </w:r>
      <w:r w:rsidRPr="008522FC">
        <w:t xml:space="preserve"> </w:t>
      </w:r>
      <w:r>
        <w:tab/>
      </w:r>
      <w:proofErr w:type="spellStart"/>
      <w:r w:rsidRPr="008522FC">
        <w:t>Abantu</w:t>
      </w:r>
      <w:proofErr w:type="spellEnd"/>
      <w:r w:rsidRPr="008522FC">
        <w:t xml:space="preserve"> for Development</w:t>
      </w:r>
      <w:r>
        <w:t>,</w:t>
      </w:r>
      <w:r w:rsidRPr="008522FC">
        <w:t xml:space="preserve"> ‘Affirmative Action, the Guaranteed Way to Increasing Women</w:t>
      </w:r>
      <w:r>
        <w:t>’</w:t>
      </w:r>
      <w:r w:rsidRPr="008522FC">
        <w:t xml:space="preserve">s Representation in Decision Making Spaces in Ghana’ </w:t>
      </w:r>
      <w:r w:rsidRPr="00171569">
        <w:rPr>
          <w:i/>
          <w:iCs/>
        </w:rPr>
        <w:t>Ghana Today</w:t>
      </w:r>
      <w:r w:rsidRPr="008522FC">
        <w:t xml:space="preserve"> (18 January 2022) </w:t>
      </w:r>
      <w:r>
        <w:t>&lt;</w:t>
      </w:r>
      <w:hyperlink r:id="rId5" w:history="1">
        <w:r w:rsidRPr="006C675E">
          <w:rPr>
            <w:rStyle w:val="Hyperlink"/>
          </w:rPr>
          <w:t>https://ghanatoday.gov.gh/opinion/affirmative-action-the-guaranteed-way-to-increasing-womens-representation-in-decision-making-spaces-in-ghana/</w:t>
        </w:r>
      </w:hyperlink>
      <w:r>
        <w:t>&gt;</w:t>
      </w:r>
      <w:r w:rsidRPr="008522FC">
        <w:t xml:space="preserve"> accessed 4 February 2024. </w:t>
      </w:r>
    </w:p>
  </w:footnote>
  <w:footnote w:id="7">
    <w:p w14:paraId="02145715"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Clara Lindhard Neltoft</w:t>
      </w:r>
      <w:r>
        <w:t>,</w:t>
      </w:r>
      <w:r w:rsidRPr="006F2343">
        <w:t xml:space="preserve"> ‘Girls’ </w:t>
      </w:r>
      <w:r>
        <w:t>E</w:t>
      </w:r>
      <w:r w:rsidRPr="006F2343">
        <w:t xml:space="preserve">ducation in Ghana: </w:t>
      </w:r>
      <w:r>
        <w:t>F</w:t>
      </w:r>
      <w:r w:rsidRPr="006F2343">
        <w:t xml:space="preserve">ighting </w:t>
      </w:r>
      <w:r>
        <w:t>B</w:t>
      </w:r>
      <w:r w:rsidRPr="006F2343">
        <w:t xml:space="preserve">arriers </w:t>
      </w:r>
      <w:r>
        <w:t>B</w:t>
      </w:r>
      <w:r w:rsidRPr="006F2343">
        <w:t xml:space="preserve">eyond </w:t>
      </w:r>
      <w:r>
        <w:t>G</w:t>
      </w:r>
      <w:r w:rsidRPr="006F2343">
        <w:t xml:space="preserve">ender </w:t>
      </w:r>
      <w:r>
        <w:t>P</w:t>
      </w:r>
      <w:r w:rsidRPr="006F2343">
        <w:t>arity’</w:t>
      </w:r>
      <w:r w:rsidRPr="006F2343">
        <w:rPr>
          <w:rFonts w:eastAsia="Poppins"/>
        </w:rPr>
        <w:t xml:space="preserve"> </w:t>
      </w:r>
      <w:r>
        <w:rPr>
          <w:rFonts w:eastAsia="Poppins"/>
        </w:rPr>
        <w:t>(</w:t>
      </w:r>
      <w:r w:rsidRPr="006F2343">
        <w:t xml:space="preserve">GEP Transformation Education 2021) </w:t>
      </w:r>
      <w:r>
        <w:t>&lt;</w:t>
      </w:r>
      <w:hyperlink r:id="rId6" w:history="1">
        <w:r w:rsidRPr="006C675E">
          <w:rPr>
            <w:rStyle w:val="Hyperlink"/>
          </w:rPr>
          <w:t>https://www.globalpartnership.org/blog/girls-education-ghana-fighting-barriers-beyond-gender-parity</w:t>
        </w:r>
      </w:hyperlink>
      <w:r>
        <w:t>&gt;</w:t>
      </w:r>
      <w:r w:rsidRPr="006F2343">
        <w:t xml:space="preserve"> accessed 3</w:t>
      </w:r>
      <w:r>
        <w:t xml:space="preserve"> </w:t>
      </w:r>
      <w:r w:rsidRPr="006F2343">
        <w:t>February 2023.</w:t>
      </w:r>
    </w:p>
  </w:footnote>
  <w:footnote w:id="8">
    <w:p w14:paraId="615D69B0"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Kwamena Sakyi Dickson</w:t>
      </w:r>
      <w:r>
        <w:t xml:space="preserve">, </w:t>
      </w:r>
      <w:r w:rsidRPr="00397E59">
        <w:t>Edward Kwabena Ameyaw</w:t>
      </w:r>
      <w:r>
        <w:t xml:space="preserve"> </w:t>
      </w:r>
      <w:r w:rsidRPr="006F2343">
        <w:t xml:space="preserve">and Kenneth </w:t>
      </w:r>
      <w:proofErr w:type="spellStart"/>
      <w:r w:rsidRPr="006F2343">
        <w:t>Setorwu</w:t>
      </w:r>
      <w:proofErr w:type="spellEnd"/>
      <w:r w:rsidRPr="006F2343">
        <w:t xml:space="preserve"> Addem</w:t>
      </w:r>
      <w:r>
        <w:t>,</w:t>
      </w:r>
      <w:r w:rsidRPr="006F2343">
        <w:t xml:space="preserve"> ‘Are Ghanaian </w:t>
      </w:r>
      <w:r>
        <w:t>W</w:t>
      </w:r>
      <w:r w:rsidRPr="006F2343">
        <w:t xml:space="preserve">omen </w:t>
      </w:r>
      <w:r>
        <w:t>M</w:t>
      </w:r>
      <w:r w:rsidRPr="006F2343">
        <w:t xml:space="preserve">eeting the WHO </w:t>
      </w:r>
      <w:r>
        <w:t>R</w:t>
      </w:r>
      <w:r w:rsidRPr="006F2343">
        <w:t xml:space="preserve">ecommended </w:t>
      </w:r>
      <w:r>
        <w:t>M</w:t>
      </w:r>
      <w:r w:rsidRPr="006F2343">
        <w:t xml:space="preserve">aternal </w:t>
      </w:r>
      <w:r>
        <w:t>H</w:t>
      </w:r>
      <w:r w:rsidRPr="006F2343">
        <w:t xml:space="preserve">ealthcare (MCH) </w:t>
      </w:r>
      <w:r>
        <w:t>U</w:t>
      </w:r>
      <w:r w:rsidRPr="006F2343">
        <w:t xml:space="preserve">tilisation? Evidence from a </w:t>
      </w:r>
      <w:r>
        <w:t>N</w:t>
      </w:r>
      <w:r w:rsidRPr="006F2343">
        <w:t xml:space="preserve">ational </w:t>
      </w:r>
      <w:r>
        <w:t>S</w:t>
      </w:r>
      <w:r w:rsidRPr="006F2343">
        <w:t xml:space="preserve">urvey’ (2021) BMC Pregnancy Childbirth </w:t>
      </w:r>
      <w:r w:rsidRPr="004553ED">
        <w:t xml:space="preserve">161 </w:t>
      </w:r>
      <w:r>
        <w:t>&lt;</w:t>
      </w:r>
      <w:hyperlink r:id="rId7" w:history="1">
        <w:r w:rsidRPr="006C675E">
          <w:rPr>
            <w:rStyle w:val="Hyperlink"/>
          </w:rPr>
          <w:t>https://doi.org/10.1186/s12884-021-03643-6</w:t>
        </w:r>
      </w:hyperlink>
      <w:r w:rsidRPr="006F2343">
        <w:t xml:space="preserve"> 2</w:t>
      </w:r>
      <w:r>
        <w:t>&gt; accessed 4 February 2023.</w:t>
      </w:r>
    </w:p>
  </w:footnote>
  <w:footnote w:id="9">
    <w:p w14:paraId="57AC7375"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 xml:space="preserve">Enoch </w:t>
      </w:r>
      <w:proofErr w:type="spellStart"/>
      <w:r w:rsidRPr="006F2343">
        <w:t>Bessah</w:t>
      </w:r>
      <w:proofErr w:type="spellEnd"/>
      <w:r w:rsidRPr="006F2343">
        <w:t xml:space="preserve"> </w:t>
      </w:r>
      <w:r>
        <w:t xml:space="preserve">and others, </w:t>
      </w:r>
      <w:r w:rsidRPr="006F2343">
        <w:t xml:space="preserve">‘Gender-based </w:t>
      </w:r>
      <w:r>
        <w:t>V</w:t>
      </w:r>
      <w:r w:rsidRPr="006F2343">
        <w:t xml:space="preserve">ariations in the </w:t>
      </w:r>
      <w:r>
        <w:t>P</w:t>
      </w:r>
      <w:r w:rsidRPr="006F2343">
        <w:t xml:space="preserve">erception of </w:t>
      </w:r>
      <w:r>
        <w:t>C</w:t>
      </w:r>
      <w:r w:rsidRPr="006F2343">
        <w:t xml:space="preserve">limate </w:t>
      </w:r>
      <w:r>
        <w:t>C</w:t>
      </w:r>
      <w:r w:rsidRPr="006F2343">
        <w:t xml:space="preserve">hange </w:t>
      </w:r>
      <w:r>
        <w:t>I</w:t>
      </w:r>
      <w:r w:rsidRPr="006F2343">
        <w:t xml:space="preserve">mpact, </w:t>
      </w:r>
      <w:r>
        <w:t>V</w:t>
      </w:r>
      <w:r w:rsidRPr="006F2343">
        <w:t xml:space="preserve">ulnerability, and </w:t>
      </w:r>
      <w:r>
        <w:t>A</w:t>
      </w:r>
      <w:r w:rsidRPr="006F2343">
        <w:t xml:space="preserve">daptation </w:t>
      </w:r>
      <w:r>
        <w:t>S</w:t>
      </w:r>
      <w:r w:rsidRPr="006F2343">
        <w:t xml:space="preserve">trategies in the </w:t>
      </w:r>
      <w:proofErr w:type="spellStart"/>
      <w:r w:rsidRPr="006F2343">
        <w:t>Pra</w:t>
      </w:r>
      <w:proofErr w:type="spellEnd"/>
      <w:r w:rsidRPr="006F2343">
        <w:t xml:space="preserve"> River Basin of Ghana’ (2021) </w:t>
      </w:r>
      <w:proofErr w:type="spellStart"/>
      <w:r w:rsidRPr="006F2343">
        <w:t>IJClCSM</w:t>
      </w:r>
      <w:proofErr w:type="spellEnd"/>
      <w:r w:rsidRPr="006F2343">
        <w:t xml:space="preserve"> 436.  </w:t>
      </w:r>
    </w:p>
  </w:footnote>
  <w:footnote w:id="10">
    <w:p w14:paraId="0DD63D47"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 xml:space="preserve">United Nations Special Rapporteur on the Right to Peaceful Assembly and of Association - Clément </w:t>
      </w:r>
      <w:proofErr w:type="spellStart"/>
      <w:r w:rsidRPr="006F2343">
        <w:t>Voulé</w:t>
      </w:r>
      <w:proofErr w:type="spellEnd"/>
      <w:r>
        <w:t>,</w:t>
      </w:r>
      <w:r w:rsidRPr="006F2343">
        <w:t xml:space="preserve"> ‘Digital Space and the Protection of Freedoms of Association and Peaceful Assembly in Africa’ Consultative Meeting With UU Special Rapporteur Clément </w:t>
      </w:r>
      <w:proofErr w:type="spellStart"/>
      <w:r w:rsidRPr="006F2343">
        <w:t>Voulé</w:t>
      </w:r>
      <w:proofErr w:type="spellEnd"/>
      <w:r w:rsidRPr="006F2343">
        <w:t xml:space="preserve"> Intercontinental Hotel, Nairobi, Kenya (</w:t>
      </w:r>
      <w:r>
        <w:t xml:space="preserve">21–22 February </w:t>
      </w:r>
      <w:r w:rsidRPr="006F2343">
        <w:t xml:space="preserve">2019) </w:t>
      </w:r>
      <w:r>
        <w:t>&lt;</w:t>
      </w:r>
      <w:hyperlink r:id="rId8" w:history="1">
        <w:r w:rsidRPr="006C675E">
          <w:rPr>
            <w:rStyle w:val="Hyperlink"/>
          </w:rPr>
          <w:t>https://www.icnl.org/wp-content/uploads/Final-Communique-UN-Consultation-Africa.pdfhttps://www.icnl.org/wp-content/uploads/Final-Communique-UN-Consultation-Africa.pdf</w:t>
        </w:r>
      </w:hyperlink>
      <w:r>
        <w:t>&gt;</w:t>
      </w:r>
      <w:r w:rsidRPr="006F2343">
        <w:t xml:space="preserve">  </w:t>
      </w:r>
      <w:bookmarkStart w:id="6" w:name="_Hlk174910636"/>
      <w:r w:rsidRPr="006F2343">
        <w:t>accessed 2 February 2024.</w:t>
      </w:r>
    </w:p>
    <w:bookmarkEnd w:id="6"/>
  </w:footnote>
  <w:footnote w:id="11">
    <w:p w14:paraId="6EF9843D"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 xml:space="preserve">Katharine Christopherson </w:t>
      </w:r>
      <w:r>
        <w:t xml:space="preserve">and others, </w:t>
      </w:r>
      <w:r w:rsidRPr="006F2343">
        <w:t>‘Tackling Legal Impediments to Women’s Economic Empowerment’ (2022) International Monetary Fund paper.</w:t>
      </w:r>
    </w:p>
  </w:footnote>
  <w:footnote w:id="12">
    <w:p w14:paraId="755301E2"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 xml:space="preserve">The Constitution of Ghana </w:t>
      </w:r>
      <w:r>
        <w:t>(n 2)</w:t>
      </w:r>
      <w:r w:rsidRPr="006F2343">
        <w:t>, art 27(3).</w:t>
      </w:r>
    </w:p>
  </w:footnote>
  <w:footnote w:id="13">
    <w:p w14:paraId="0C7C2055" w14:textId="77777777" w:rsidR="00537326" w:rsidRPr="006F2343" w:rsidRDefault="00537326" w:rsidP="00537326">
      <w:pPr>
        <w:pStyle w:val="Footnote"/>
      </w:pPr>
      <w:r w:rsidRPr="006F2343">
        <w:rPr>
          <w:rStyle w:val="FootnoteReference"/>
          <w:vertAlign w:val="baseline"/>
        </w:rPr>
        <w:footnoteRef/>
      </w:r>
      <w:r w:rsidRPr="006F2343">
        <w:t xml:space="preserve"> </w:t>
      </w:r>
      <w:bookmarkStart w:id="7" w:name="_Hlk159587663"/>
      <w:bookmarkStart w:id="8" w:name="_Hlk128400958"/>
      <w:r>
        <w:tab/>
      </w:r>
      <w:r w:rsidRPr="006F2343">
        <w:t>Labour Act of Ghana 651 2003</w:t>
      </w:r>
      <w:bookmarkEnd w:id="7"/>
      <w:r w:rsidRPr="006F2343">
        <w:t>.</w:t>
      </w:r>
      <w:bookmarkEnd w:id="8"/>
    </w:p>
  </w:footnote>
  <w:footnote w:id="14">
    <w:p w14:paraId="10F11FA5" w14:textId="77777777" w:rsidR="00537326" w:rsidRPr="006F2343" w:rsidRDefault="00537326" w:rsidP="00537326">
      <w:pPr>
        <w:pStyle w:val="Footnote"/>
      </w:pPr>
      <w:r w:rsidRPr="006F2343">
        <w:rPr>
          <w:rStyle w:val="FootnoteReference"/>
          <w:vertAlign w:val="baseline"/>
        </w:rPr>
        <w:footnoteRef/>
      </w:r>
      <w:r w:rsidRPr="006F2343">
        <w:t xml:space="preserve"> </w:t>
      </w:r>
      <w:bookmarkStart w:id="9" w:name="_Hlk159586839"/>
      <w:r>
        <w:tab/>
      </w:r>
      <w:r w:rsidRPr="006F2343">
        <w:t xml:space="preserve">The Constitution of Ghana </w:t>
      </w:r>
      <w:r>
        <w:t>(n 2)</w:t>
      </w:r>
      <w:r w:rsidRPr="006F2343">
        <w:t xml:space="preserve">, </w:t>
      </w:r>
      <w:bookmarkEnd w:id="9"/>
      <w:r w:rsidRPr="006F2343">
        <w:t xml:space="preserve">art 22. </w:t>
      </w:r>
    </w:p>
  </w:footnote>
  <w:footnote w:id="15">
    <w:p w14:paraId="0D57AA5A"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Georgetown Institute for Women, Peace and Security</w:t>
      </w:r>
      <w:r>
        <w:t>,</w:t>
      </w:r>
      <w:r w:rsidRPr="006F2343">
        <w:t xml:space="preserve"> ‘Women and Climate Change Impact and Agency in Human Rights, Security, and Economic Development’ (2015) 17 </w:t>
      </w:r>
      <w:r>
        <w:t>&lt;</w:t>
      </w:r>
      <w:hyperlink r:id="rId9" w:history="1">
        <w:r w:rsidRPr="006C675E">
          <w:rPr>
            <w:rStyle w:val="Hyperlink"/>
          </w:rPr>
          <w:t>https://giwps.georgetown.edu/wp-content/uploads/2017/09/Women-and-Climate-Change.pdf</w:t>
        </w:r>
      </w:hyperlink>
      <w:r>
        <w:rPr>
          <w:rStyle w:val="Hyperlink"/>
        </w:rPr>
        <w:t>&gt;</w:t>
      </w:r>
      <w:r w:rsidRPr="006F2343">
        <w:t xml:space="preserve">  accessed 26 April 2024. </w:t>
      </w:r>
    </w:p>
  </w:footnote>
  <w:footnote w:id="16">
    <w:p w14:paraId="772EF504" w14:textId="2BC35AA5" w:rsidR="00537326" w:rsidRPr="00CC1003" w:rsidRDefault="00537326" w:rsidP="00D54939">
      <w:pPr>
        <w:pStyle w:val="Footnote"/>
        <w:keepNext/>
        <w:keepLines/>
      </w:pPr>
      <w:r w:rsidRPr="006F2343">
        <w:rPr>
          <w:rStyle w:val="FootnoteReference"/>
          <w:vertAlign w:val="baseline"/>
        </w:rPr>
        <w:footnoteRef/>
      </w:r>
      <w:r w:rsidRPr="006F2343">
        <w:t xml:space="preserve"> </w:t>
      </w:r>
      <w:r>
        <w:tab/>
      </w:r>
      <w:r w:rsidRPr="006F2343">
        <w:t>Carolyn Hannan</w:t>
      </w:r>
      <w:r>
        <w:t>,</w:t>
      </w:r>
      <w:r w:rsidRPr="006F2343">
        <w:t xml:space="preserve"> ‘The Role of ICT Policy in Empowering and Protecting the Rights of the Girl Child’ Parallel </w:t>
      </w:r>
      <w:r>
        <w:t>e</w:t>
      </w:r>
      <w:r w:rsidRPr="006F2343">
        <w:t xml:space="preserve">vent at the Fifty-first </w:t>
      </w:r>
      <w:r w:rsidR="00D54939">
        <w:t>S</w:t>
      </w:r>
      <w:r w:rsidRPr="006F2343">
        <w:t xml:space="preserve">ession of the Commission on the Status of Women (5 March 2007) </w:t>
      </w:r>
      <w:r>
        <w:t>&lt;</w:t>
      </w:r>
      <w:hyperlink r:id="rId10" w:history="1">
        <w:r w:rsidRPr="006C675E">
          <w:rPr>
            <w:rStyle w:val="Hyperlink"/>
          </w:rPr>
          <w:t>https://www.un.org/womenwatch/daw/csw/csw51/statements/CH/UNITAR%20ICT%20event.pdf</w:t>
        </w:r>
      </w:hyperlink>
      <w:r>
        <w:t>&gt;</w:t>
      </w:r>
      <w:r w:rsidRPr="006F2343">
        <w:t xml:space="preserve"> accessed 26 April 2024.</w:t>
      </w:r>
    </w:p>
  </w:footnote>
  <w:footnote w:id="17">
    <w:p w14:paraId="5F7A8EBE" w14:textId="77777777" w:rsidR="00537326" w:rsidRPr="00CC1003" w:rsidRDefault="00537326" w:rsidP="00537326">
      <w:pPr>
        <w:pStyle w:val="Footnote"/>
        <w:rPr>
          <w:lang w:val="en-US"/>
        </w:rPr>
      </w:pPr>
      <w:r w:rsidRPr="00BA2FA0">
        <w:t>17</w:t>
      </w:r>
      <w:r>
        <w:tab/>
      </w:r>
      <w:r w:rsidRPr="00171569">
        <w:rPr>
          <w:i/>
          <w:iCs/>
        </w:rPr>
        <w:t>Republic v High Court</w:t>
      </w:r>
      <w:r w:rsidRPr="00CC1003">
        <w:t xml:space="preserve"> (Commercial Division) Accra; ex </w:t>
      </w:r>
      <w:proofErr w:type="spellStart"/>
      <w:r w:rsidRPr="00CC1003">
        <w:t>parte</w:t>
      </w:r>
      <w:proofErr w:type="spellEnd"/>
      <w:r w:rsidRPr="00CC1003">
        <w:t xml:space="preserve"> Attorney-General (NML Capital Ltd &amp; Republic of Argentina, Interested Parties) (2013</w:t>
      </w:r>
      <w:r>
        <w:t>–</w:t>
      </w:r>
      <w:r w:rsidRPr="00CC1003">
        <w:t xml:space="preserve">2014) 2 SCGLR 990. </w:t>
      </w:r>
    </w:p>
  </w:footnote>
  <w:footnote w:id="18">
    <w:p w14:paraId="7BC2E543" w14:textId="77777777" w:rsidR="00537326" w:rsidRPr="00CC1003" w:rsidRDefault="00537326" w:rsidP="00537326">
      <w:pPr>
        <w:pStyle w:val="Footnote"/>
        <w:rPr>
          <w:lang w:val="en-US"/>
        </w:rPr>
      </w:pPr>
      <w:r w:rsidRPr="00BA2FA0">
        <w:t>18</w:t>
      </w:r>
      <w:r>
        <w:tab/>
      </w:r>
      <w:bookmarkStart w:id="10" w:name="_Hlk178879529"/>
      <w:r w:rsidRPr="009B1E4D">
        <w:t xml:space="preserve">Anselmus Kodzo </w:t>
      </w:r>
      <w:r>
        <w:t xml:space="preserve">and </w:t>
      </w:r>
      <w:proofErr w:type="spellStart"/>
      <w:r w:rsidRPr="009B1E4D">
        <w:t>Paaku</w:t>
      </w:r>
      <w:proofErr w:type="spellEnd"/>
      <w:r w:rsidRPr="00CC1003">
        <w:t xml:space="preserve"> </w:t>
      </w:r>
      <w:proofErr w:type="spellStart"/>
      <w:r w:rsidRPr="00CC1003">
        <w:t>Kludze</w:t>
      </w:r>
      <w:proofErr w:type="spellEnd"/>
      <w:r w:rsidRPr="00CC1003">
        <w:t>,</w:t>
      </w:r>
      <w:bookmarkEnd w:id="10"/>
      <w:r w:rsidRPr="00CC1003">
        <w:t xml:space="preserve"> ‘Constitutional Rights and Their Relationship with International Human Rights in Ghana’ (2008) 41(3) ILR 682.</w:t>
      </w:r>
    </w:p>
  </w:footnote>
  <w:footnote w:id="19">
    <w:p w14:paraId="7EE23E29" w14:textId="77777777" w:rsidR="00537326" w:rsidRPr="00CC1003" w:rsidRDefault="00537326" w:rsidP="00537326">
      <w:pPr>
        <w:pStyle w:val="Footnote"/>
        <w:rPr>
          <w:lang w:val="en-US"/>
        </w:rPr>
      </w:pPr>
      <w:r w:rsidRPr="00BA2FA0">
        <w:t>19</w:t>
      </w:r>
      <w:r>
        <w:tab/>
      </w:r>
      <w:r w:rsidRPr="00CC1003">
        <w:t>The Constitution of Ghana</w:t>
      </w:r>
      <w:r>
        <w:t xml:space="preserve"> (n 2)</w:t>
      </w:r>
      <w:r w:rsidRPr="00CC1003">
        <w:t xml:space="preserve"> art 22</w:t>
      </w:r>
      <w:r>
        <w:t>.</w:t>
      </w:r>
    </w:p>
  </w:footnote>
  <w:footnote w:id="20">
    <w:p w14:paraId="4877B0CB" w14:textId="77777777" w:rsidR="00537326" w:rsidRPr="00CC1003" w:rsidRDefault="00537326" w:rsidP="00537326">
      <w:pPr>
        <w:pStyle w:val="Footnote"/>
      </w:pPr>
      <w:bookmarkStart w:id="12" w:name="_Hlk159588007"/>
      <w:r w:rsidRPr="00BA2FA0">
        <w:t>20</w:t>
      </w:r>
      <w:r>
        <w:tab/>
      </w:r>
      <w:bookmarkEnd w:id="12"/>
      <w:r>
        <w:t>ibid</w:t>
      </w:r>
      <w:r w:rsidRPr="00CC1003">
        <w:t xml:space="preserve"> art 27.</w:t>
      </w:r>
    </w:p>
    <w:bookmarkStart w:id="13" w:name="_heading=h.26in1rg" w:colFirst="0" w:colLast="0"/>
    <w:bookmarkEnd w:id="13"/>
  </w:footnote>
  <w:footnote w:id="21">
    <w:p w14:paraId="32C62600" w14:textId="77777777" w:rsidR="00537326" w:rsidRPr="00CC1003" w:rsidRDefault="00537326" w:rsidP="00537326">
      <w:pPr>
        <w:pStyle w:val="Footnote"/>
      </w:pPr>
      <w:bookmarkStart w:id="14" w:name="_heading=h.26in1rg" w:colFirst="0" w:colLast="0"/>
      <w:bookmarkEnd w:id="14"/>
      <w:r w:rsidRPr="00BA2FA0">
        <w:t>21</w:t>
      </w:r>
      <w:r>
        <w:tab/>
      </w:r>
      <w:r w:rsidRPr="00CC1003">
        <w:t xml:space="preserve">Labour Act of Ghana 651 2003. </w:t>
      </w:r>
    </w:p>
  </w:footnote>
  <w:footnote w:id="22">
    <w:p w14:paraId="76ACA810" w14:textId="77777777" w:rsidR="00537326" w:rsidRPr="00CC1003" w:rsidRDefault="00537326" w:rsidP="00537326">
      <w:pPr>
        <w:pStyle w:val="Footnote"/>
      </w:pPr>
      <w:r w:rsidRPr="00BA2FA0">
        <w:t>22</w:t>
      </w:r>
      <w:r>
        <w:tab/>
      </w:r>
      <w:r w:rsidRPr="00CC1003">
        <w:t xml:space="preserve">Janine Bosak </w:t>
      </w:r>
      <w:r>
        <w:t>and others, ‘</w:t>
      </w:r>
      <w:r w:rsidRPr="00B002E7">
        <w:t>W</w:t>
      </w:r>
      <w:r w:rsidRPr="00CC1003">
        <w:t xml:space="preserve">omen and </w:t>
      </w:r>
      <w:r>
        <w:t>M</w:t>
      </w:r>
      <w:r w:rsidRPr="00CC1003">
        <w:t xml:space="preserve">en of the </w:t>
      </w:r>
      <w:r>
        <w:t>P</w:t>
      </w:r>
      <w:r w:rsidRPr="00CC1003">
        <w:t xml:space="preserve">ast, </w:t>
      </w:r>
      <w:r>
        <w:t>P</w:t>
      </w:r>
      <w:r w:rsidRPr="00CC1003">
        <w:t xml:space="preserve">resent, and </w:t>
      </w:r>
      <w:r>
        <w:t>F</w:t>
      </w:r>
      <w:r w:rsidRPr="00CC1003">
        <w:t xml:space="preserve">uture: Evidence of </w:t>
      </w:r>
      <w:r>
        <w:t>D</w:t>
      </w:r>
      <w:r w:rsidRPr="00CC1003">
        <w:t xml:space="preserve">ynamic </w:t>
      </w:r>
      <w:r>
        <w:t>G</w:t>
      </w:r>
      <w:r w:rsidRPr="00CC1003">
        <w:t xml:space="preserve">ender </w:t>
      </w:r>
      <w:r>
        <w:t>S</w:t>
      </w:r>
      <w:r w:rsidRPr="00CC1003">
        <w:t xml:space="preserve">tereotypes in Ghana’ (2017) JCCP 117. </w:t>
      </w:r>
    </w:p>
  </w:footnote>
  <w:footnote w:id="23">
    <w:p w14:paraId="58B85463" w14:textId="77777777" w:rsidR="00537326" w:rsidRPr="00CC1003" w:rsidRDefault="00537326" w:rsidP="00537326">
      <w:pPr>
        <w:pStyle w:val="Footnote"/>
      </w:pPr>
      <w:r w:rsidRPr="00BA2FA0">
        <w:t>23</w:t>
      </w:r>
      <w:r>
        <w:tab/>
      </w:r>
      <w:r w:rsidRPr="00CC1003">
        <w:t>Labour Act of Ghana 651 2003</w:t>
      </w:r>
      <w:bookmarkStart w:id="15" w:name="_Hlk128401020"/>
      <w:r w:rsidRPr="00CC1003">
        <w:t xml:space="preserve"> s 55.</w:t>
      </w:r>
    </w:p>
    <w:bookmarkEnd w:id="15"/>
  </w:footnote>
  <w:footnote w:id="24">
    <w:p w14:paraId="328A4D6E" w14:textId="77777777" w:rsidR="00537326" w:rsidRPr="00CC1003" w:rsidRDefault="00537326" w:rsidP="00537326">
      <w:pPr>
        <w:pStyle w:val="Footnote"/>
      </w:pPr>
      <w:r w:rsidRPr="00BA2FA0">
        <w:t>24</w:t>
      </w:r>
      <w:r>
        <w:tab/>
      </w:r>
      <w:r w:rsidRPr="00CC1003">
        <w:t>Labour Act of Ghana 651 2003 s 56.</w:t>
      </w:r>
    </w:p>
  </w:footnote>
  <w:footnote w:id="25">
    <w:p w14:paraId="7EC94B46" w14:textId="77777777" w:rsidR="00537326" w:rsidRPr="00CC1003" w:rsidRDefault="00537326" w:rsidP="00537326">
      <w:pPr>
        <w:pStyle w:val="Footnote"/>
      </w:pPr>
      <w:r w:rsidRPr="00BA2FA0">
        <w:t>25</w:t>
      </w:r>
      <w:r>
        <w:tab/>
      </w:r>
      <w:r w:rsidRPr="00CC1003">
        <w:t>Labour Act of Ghana 651 2003 s 57.</w:t>
      </w:r>
    </w:p>
  </w:footnote>
  <w:footnote w:id="26">
    <w:p w14:paraId="0B59C63A" w14:textId="77777777" w:rsidR="00537326" w:rsidRPr="00CC1003" w:rsidRDefault="00537326" w:rsidP="00537326">
      <w:pPr>
        <w:pStyle w:val="Footnote"/>
        <w:rPr>
          <w:lang w:val="en-US"/>
        </w:rPr>
      </w:pPr>
      <w:r w:rsidRPr="00BA2FA0">
        <w:t>26</w:t>
      </w:r>
      <w:r>
        <w:tab/>
      </w:r>
      <w:r w:rsidRPr="00CC1003">
        <w:t>Matrimonial Causes Act of Ghana 367 1971; Domestic Violence Act of Ghana 732 2007; Criminal Offences Act of Ghana 29 1960.</w:t>
      </w:r>
    </w:p>
  </w:footnote>
  <w:footnote w:id="27">
    <w:p w14:paraId="0E16540C" w14:textId="77777777" w:rsidR="00537326" w:rsidRPr="006F2343" w:rsidRDefault="00537326" w:rsidP="00537326">
      <w:pPr>
        <w:pStyle w:val="Footnote"/>
      </w:pPr>
      <w:r w:rsidRPr="006F2343">
        <w:rPr>
          <w:rStyle w:val="FootnoteReference"/>
          <w:vertAlign w:val="baseline"/>
        </w:rPr>
        <w:footnoteRef/>
      </w:r>
      <w:r w:rsidRPr="006F2343">
        <w:t xml:space="preserve"> </w:t>
      </w:r>
      <w:r>
        <w:tab/>
        <w:t>United Nations, ‘</w:t>
      </w:r>
      <w:r w:rsidRPr="006F2343">
        <w:t xml:space="preserve">United Nations Women and Elections </w:t>
      </w:r>
      <w:r>
        <w:t>G</w:t>
      </w:r>
      <w:r w:rsidRPr="006F2343">
        <w:t xml:space="preserve">uide to </w:t>
      </w:r>
      <w:r>
        <w:t>P</w:t>
      </w:r>
      <w:r w:rsidRPr="006F2343">
        <w:t xml:space="preserve">romoting and the </w:t>
      </w:r>
      <w:r>
        <w:t>P</w:t>
      </w:r>
      <w:r w:rsidRPr="006F2343">
        <w:t xml:space="preserve">articipation of </w:t>
      </w:r>
      <w:r>
        <w:t>W</w:t>
      </w:r>
      <w:r w:rsidRPr="006F2343">
        <w:t xml:space="preserve">omen in </w:t>
      </w:r>
      <w:r>
        <w:t>E</w:t>
      </w:r>
      <w:r w:rsidRPr="006F2343">
        <w:t xml:space="preserve">lections. The </w:t>
      </w:r>
      <w:r>
        <w:t>U</w:t>
      </w:r>
      <w:r w:rsidRPr="006F2343">
        <w:t xml:space="preserve">nderrepresentation of </w:t>
      </w:r>
      <w:r>
        <w:t>W</w:t>
      </w:r>
      <w:r w:rsidRPr="006F2343">
        <w:t xml:space="preserve">omen in </w:t>
      </w:r>
      <w:r>
        <w:t>N</w:t>
      </w:r>
      <w:r w:rsidRPr="006F2343">
        <w:t xml:space="preserve">ational </w:t>
      </w:r>
      <w:r>
        <w:t>P</w:t>
      </w:r>
      <w:r w:rsidRPr="006F2343">
        <w:t xml:space="preserve">arliaments Inter-Parliamentary Union’ </w:t>
      </w:r>
      <w:r>
        <w:t>&lt;</w:t>
      </w:r>
      <w:hyperlink r:id="rId11" w:history="1">
        <w:r w:rsidRPr="006C675E">
          <w:rPr>
            <w:rStyle w:val="Hyperlink"/>
          </w:rPr>
          <w:t>www.ipu.org</w:t>
        </w:r>
      </w:hyperlink>
      <w:r>
        <w:t>&gt;</w:t>
      </w:r>
      <w:r w:rsidRPr="006F2343">
        <w:t xml:space="preserve"> accessed 4 February 2024.</w:t>
      </w:r>
    </w:p>
  </w:footnote>
  <w:footnote w:id="28">
    <w:p w14:paraId="09A313F3" w14:textId="77777777" w:rsidR="00537326" w:rsidRPr="006F2343" w:rsidRDefault="00537326" w:rsidP="00537326">
      <w:pPr>
        <w:pStyle w:val="Footnote"/>
      </w:pPr>
      <w:r w:rsidRPr="006F2343">
        <w:rPr>
          <w:rStyle w:val="FootnoteReference"/>
          <w:vertAlign w:val="baseline"/>
        </w:rPr>
        <w:footnoteRef/>
      </w:r>
      <w:r w:rsidRPr="006F2343">
        <w:t xml:space="preserve"> </w:t>
      </w:r>
      <w:r>
        <w:tab/>
      </w:r>
      <w:proofErr w:type="spellStart"/>
      <w:r w:rsidRPr="006F2343">
        <w:t>Abantu</w:t>
      </w:r>
      <w:proofErr w:type="spellEnd"/>
      <w:r w:rsidRPr="006F2343">
        <w:t xml:space="preserve"> for Development</w:t>
      </w:r>
      <w:r>
        <w:t>,</w:t>
      </w:r>
      <w:r w:rsidRPr="006F2343">
        <w:t xml:space="preserve"> ‘Affirmative Action, the Guaranteed Way to Increasing Women</w:t>
      </w:r>
      <w:r>
        <w:t>’</w:t>
      </w:r>
      <w:r w:rsidRPr="006F2343">
        <w:t xml:space="preserve">s Representation in Decision Making Spaces in Ghana’ </w:t>
      </w:r>
      <w:r w:rsidRPr="00171569">
        <w:rPr>
          <w:i/>
          <w:iCs/>
        </w:rPr>
        <w:t>Ghana Today</w:t>
      </w:r>
      <w:r w:rsidRPr="006F2343">
        <w:t xml:space="preserve"> (18 January 2022) </w:t>
      </w:r>
      <w:bookmarkStart w:id="16" w:name="_Hlk128489241"/>
      <w:r w:rsidRPr="006F2343">
        <w:t>accessed 4 February 2024.</w:t>
      </w:r>
      <w:bookmarkEnd w:id="16"/>
    </w:p>
  </w:footnote>
  <w:footnote w:id="29">
    <w:p w14:paraId="5040FE9C"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 xml:space="preserve">Doris </w:t>
      </w:r>
      <w:proofErr w:type="spellStart"/>
      <w:r w:rsidRPr="006F2343">
        <w:t>Dokua</w:t>
      </w:r>
      <w:proofErr w:type="spellEnd"/>
      <w:r w:rsidRPr="006F2343">
        <w:t xml:space="preserve"> Sasu</w:t>
      </w:r>
      <w:r>
        <w:t>,</w:t>
      </w:r>
      <w:r w:rsidRPr="006F2343">
        <w:t xml:space="preserve"> ‘Share of </w:t>
      </w:r>
      <w:r>
        <w:t>S</w:t>
      </w:r>
      <w:r w:rsidRPr="006F2343">
        <w:t xml:space="preserve">eats </w:t>
      </w:r>
      <w:r>
        <w:t>H</w:t>
      </w:r>
      <w:r w:rsidRPr="006F2343">
        <w:t xml:space="preserve">eld by </w:t>
      </w:r>
      <w:r>
        <w:t>W</w:t>
      </w:r>
      <w:r w:rsidRPr="006F2343">
        <w:t xml:space="preserve">omen in </w:t>
      </w:r>
      <w:r>
        <w:t>N</w:t>
      </w:r>
      <w:r w:rsidRPr="006F2343">
        <w:t xml:space="preserve">ational </w:t>
      </w:r>
      <w:r>
        <w:t>P</w:t>
      </w:r>
      <w:r w:rsidRPr="006F2343">
        <w:t>arliament in Ghana from 2011 to 2021’ (</w:t>
      </w:r>
      <w:r>
        <w:t xml:space="preserve">15 </w:t>
      </w:r>
      <w:r w:rsidRPr="006F2343">
        <w:t xml:space="preserve">Dec 2023) </w:t>
      </w:r>
      <w:r>
        <w:t>&lt;</w:t>
      </w:r>
      <w:hyperlink r:id="rId12" w:history="1">
        <w:r w:rsidRPr="006C675E">
          <w:rPr>
            <w:rStyle w:val="Hyperlink"/>
          </w:rPr>
          <w:t>https://www.statista.com/statistics/1244930/share-of-female-seats-in-parliament-in-ghana/</w:t>
        </w:r>
      </w:hyperlink>
      <w:r>
        <w:rPr>
          <w:rStyle w:val="Hyperlink"/>
        </w:rPr>
        <w:t>&gt;</w:t>
      </w:r>
      <w:r w:rsidRPr="006F2343">
        <w:t xml:space="preserve"> accessed 4 February 2024.</w:t>
      </w:r>
    </w:p>
  </w:footnote>
  <w:footnote w:id="30">
    <w:p w14:paraId="68747C63" w14:textId="77777777" w:rsidR="00537326" w:rsidRPr="006F2343" w:rsidRDefault="00537326" w:rsidP="00537326">
      <w:pPr>
        <w:pStyle w:val="Footnote"/>
      </w:pPr>
      <w:r w:rsidRPr="006F2343">
        <w:rPr>
          <w:rStyle w:val="FootnoteReference"/>
          <w:vertAlign w:val="baseline"/>
        </w:rPr>
        <w:footnoteRef/>
      </w:r>
      <w:r w:rsidRPr="006F2343">
        <w:t xml:space="preserve"> </w:t>
      </w:r>
      <w:bookmarkStart w:id="17" w:name="_Hlk159592136"/>
      <w:r>
        <w:tab/>
      </w:r>
      <w:r w:rsidRPr="006F2343">
        <w:t xml:space="preserve">Convention on the Elimination of </w:t>
      </w:r>
      <w:r>
        <w:t>a</w:t>
      </w:r>
      <w:r w:rsidRPr="006F2343">
        <w:t>ll Forms of Discrimination Against Women (CEDAW)</w:t>
      </w:r>
      <w:bookmarkEnd w:id="17"/>
      <w:r w:rsidRPr="006F2343">
        <w:t xml:space="preserve"> and the Protocol to the African Charter on Human and Peoples</w:t>
      </w:r>
      <w:r>
        <w:t>’</w:t>
      </w:r>
      <w:r w:rsidRPr="006F2343">
        <w:t xml:space="preserve"> Rights on the Rights of Women in Africa (Maputo Protocol). </w:t>
      </w:r>
    </w:p>
  </w:footnote>
  <w:footnote w:id="31">
    <w:p w14:paraId="57D4DA60" w14:textId="77777777" w:rsidR="00537326" w:rsidRPr="006F2343" w:rsidRDefault="00537326" w:rsidP="00537326">
      <w:pPr>
        <w:pStyle w:val="Footnote"/>
      </w:pPr>
      <w:r w:rsidRPr="006F2343">
        <w:rPr>
          <w:rStyle w:val="FootnoteReference"/>
          <w:vertAlign w:val="baseline"/>
        </w:rPr>
        <w:footnoteRef/>
      </w:r>
      <w:r w:rsidRPr="006F2343">
        <w:t xml:space="preserve"> </w:t>
      </w:r>
      <w:bookmarkStart w:id="18" w:name="_Hlk159661111"/>
      <w:r>
        <w:tab/>
      </w:r>
      <w:r w:rsidRPr="006F2343">
        <w:t>CEDAW</w:t>
      </w:r>
      <w:bookmarkEnd w:id="18"/>
      <w:r w:rsidRPr="006F2343">
        <w:t xml:space="preserve"> (n 30) art 3.</w:t>
      </w:r>
    </w:p>
  </w:footnote>
  <w:footnote w:id="32">
    <w:p w14:paraId="1BCA6ABF" w14:textId="77777777" w:rsidR="00537326" w:rsidRPr="006F2343" w:rsidRDefault="00537326" w:rsidP="00537326">
      <w:pPr>
        <w:pStyle w:val="Footnote"/>
      </w:pPr>
      <w:r w:rsidRPr="006F2343">
        <w:rPr>
          <w:rStyle w:val="FootnoteReference"/>
          <w:vertAlign w:val="baseline"/>
        </w:rPr>
        <w:footnoteRef/>
      </w:r>
      <w:bookmarkStart w:id="19" w:name="_Hlk159588950"/>
      <w:r w:rsidRPr="006F2343">
        <w:t xml:space="preserve"> </w:t>
      </w:r>
      <w:bookmarkEnd w:id="19"/>
      <w:r>
        <w:tab/>
      </w:r>
      <w:r w:rsidRPr="006F2343">
        <w:t>CEDAW (n 30) art 7 (a).</w:t>
      </w:r>
    </w:p>
  </w:footnote>
  <w:footnote w:id="33">
    <w:p w14:paraId="3F6DDB02"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CEDAW (n 30) art 7 (b).</w:t>
      </w:r>
    </w:p>
  </w:footnote>
  <w:footnote w:id="34">
    <w:p w14:paraId="7477A959"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CEDAW (n 30) art 7 (c).</w:t>
      </w:r>
    </w:p>
  </w:footnote>
  <w:footnote w:id="35">
    <w:p w14:paraId="2DA8C26E" w14:textId="77777777" w:rsidR="00537326" w:rsidRPr="006F2343" w:rsidRDefault="00537326" w:rsidP="00537326">
      <w:pPr>
        <w:pStyle w:val="Footnote"/>
      </w:pPr>
      <w:r w:rsidRPr="006F2343">
        <w:rPr>
          <w:rStyle w:val="FootnoteReference"/>
          <w:vertAlign w:val="baseline"/>
        </w:rPr>
        <w:footnoteRef/>
      </w:r>
      <w:r w:rsidRPr="006F2343">
        <w:t xml:space="preserve"> United Nations Women</w:t>
      </w:r>
      <w:r>
        <w:t>,</w:t>
      </w:r>
      <w:r w:rsidRPr="006F2343">
        <w:t xml:space="preserve"> </w:t>
      </w:r>
      <w:r>
        <w:t>‘</w:t>
      </w:r>
      <w:r w:rsidRPr="006F2343">
        <w:t xml:space="preserve">Political Participation of Women in Asia and the Pacific’ </w:t>
      </w:r>
      <w:r>
        <w:t>&lt;</w:t>
      </w:r>
      <w:hyperlink r:id="rId13" w:anchor=":~:text=Women's%20political%20participation%20is%20a,ensuring%20better%20accountability%20to%20women" w:history="1">
        <w:r w:rsidRPr="00B13AC3">
          <w:rPr>
            <w:rStyle w:val="Hyperlink"/>
          </w:rPr>
          <w:t>https://asiapacific.unwomen.org/en/focus-areas/governance/political-participation-of-women#:~:text=Women's%20political%20participation%20is%20a,ensuring%20better%20accountability%20to%20women</w:t>
        </w:r>
      </w:hyperlink>
      <w:r>
        <w:t>&gt;</w:t>
      </w:r>
      <w:r w:rsidRPr="006F2343">
        <w:t xml:space="preserve"> accessed 6 February 2024. </w:t>
      </w:r>
    </w:p>
  </w:footnote>
  <w:footnote w:id="36">
    <w:p w14:paraId="3E37BC9E" w14:textId="77777777" w:rsidR="00537326" w:rsidRPr="006F2343" w:rsidRDefault="00537326" w:rsidP="00537326">
      <w:pPr>
        <w:pStyle w:val="Footnote"/>
      </w:pPr>
      <w:r w:rsidRPr="006F2343">
        <w:rPr>
          <w:rStyle w:val="FootnoteReference"/>
          <w:vertAlign w:val="baseline"/>
        </w:rPr>
        <w:footnoteRef/>
      </w:r>
      <w:r w:rsidRPr="006F2343">
        <w:t xml:space="preserve"> </w:t>
      </w:r>
      <w:bookmarkStart w:id="20" w:name="_Hlk163904318"/>
      <w:r>
        <w:tab/>
        <w:t>i</w:t>
      </w:r>
      <w:r w:rsidRPr="006F2343">
        <w:t>bid.</w:t>
      </w:r>
      <w:bookmarkEnd w:id="20"/>
    </w:p>
  </w:footnote>
  <w:footnote w:id="37">
    <w:p w14:paraId="7B4BDE40"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Diana Højlund Madsen</w:t>
      </w:r>
      <w:r>
        <w:t>,</w:t>
      </w:r>
      <w:r w:rsidRPr="006F2343">
        <w:t xml:space="preserve"> </w:t>
      </w:r>
      <w:r>
        <w:t>‘</w:t>
      </w:r>
      <w:r w:rsidRPr="006F2343">
        <w:t xml:space="preserve">Affirmative </w:t>
      </w:r>
      <w:r>
        <w:t>A</w:t>
      </w:r>
      <w:r w:rsidRPr="006F2343">
        <w:t xml:space="preserve">ction in Ghana? Patriarchal </w:t>
      </w:r>
      <w:r>
        <w:t>A</w:t>
      </w:r>
      <w:r w:rsidRPr="006F2343">
        <w:t xml:space="preserve">rguments and </w:t>
      </w:r>
      <w:r>
        <w:t>I</w:t>
      </w:r>
      <w:r w:rsidRPr="006F2343">
        <w:t xml:space="preserve">nstitutional </w:t>
      </w:r>
      <w:r>
        <w:t>I</w:t>
      </w:r>
      <w:r w:rsidRPr="006F2343">
        <w:t>nertia 219</w:t>
      </w:r>
      <w:r>
        <w:t>’</w:t>
      </w:r>
      <w:r w:rsidRPr="006F2343">
        <w:t xml:space="preserve"> </w:t>
      </w:r>
      <w:r>
        <w:t>i</w:t>
      </w:r>
      <w:r w:rsidRPr="006F2343">
        <w:t xml:space="preserve">n Diana Højlund Madsen (ed), </w:t>
      </w:r>
      <w:r w:rsidRPr="00171569">
        <w:rPr>
          <w:i/>
          <w:iCs/>
        </w:rPr>
        <w:t>Gendered Institutions and Women’s Political Representation in Africa</w:t>
      </w:r>
      <w:r w:rsidRPr="006F2343">
        <w:t xml:space="preserve"> (The Nordic Africa Institute 2020) 272.</w:t>
      </w:r>
    </w:p>
  </w:footnote>
  <w:footnote w:id="38">
    <w:p w14:paraId="289A29D3" w14:textId="77777777" w:rsidR="00537326" w:rsidRPr="006F2343" w:rsidRDefault="00537326" w:rsidP="00537326">
      <w:pPr>
        <w:pStyle w:val="Footnote"/>
      </w:pPr>
      <w:r w:rsidRPr="006F2343">
        <w:rPr>
          <w:rStyle w:val="FootnoteReference"/>
          <w:vertAlign w:val="baseline"/>
        </w:rPr>
        <w:footnoteRef/>
      </w:r>
      <w:r w:rsidRPr="006F2343">
        <w:t xml:space="preserve"> </w:t>
      </w:r>
      <w:bookmarkStart w:id="21" w:name="_Hlk164671517"/>
      <w:r>
        <w:tab/>
        <w:t>George M</w:t>
      </w:r>
      <w:r w:rsidRPr="006F2343">
        <w:t xml:space="preserve"> Bob-</w:t>
      </w:r>
      <w:proofErr w:type="spellStart"/>
      <w:r w:rsidRPr="006F2343">
        <w:t>Milliar</w:t>
      </w:r>
      <w:proofErr w:type="spellEnd"/>
      <w:r>
        <w:t>,</w:t>
      </w:r>
      <w:r w:rsidRPr="006F2343">
        <w:t xml:space="preserve"> ‘Political </w:t>
      </w:r>
      <w:r>
        <w:t>P</w:t>
      </w:r>
      <w:r w:rsidRPr="006F2343">
        <w:t xml:space="preserve">arty </w:t>
      </w:r>
      <w:r>
        <w:t>A</w:t>
      </w:r>
      <w:r w:rsidRPr="006F2343">
        <w:t xml:space="preserve">ctivism in Ghana: Factors </w:t>
      </w:r>
      <w:r>
        <w:t>I</w:t>
      </w:r>
      <w:r w:rsidRPr="006F2343">
        <w:t xml:space="preserve">nfluencing the </w:t>
      </w:r>
      <w:r>
        <w:t>D</w:t>
      </w:r>
      <w:r w:rsidRPr="006F2343">
        <w:t xml:space="preserve">ecision of the </w:t>
      </w:r>
      <w:r>
        <w:t>P</w:t>
      </w:r>
      <w:r w:rsidRPr="006F2343">
        <w:t xml:space="preserve">olitically </w:t>
      </w:r>
      <w:r>
        <w:t>A</w:t>
      </w:r>
      <w:r w:rsidRPr="006F2343">
        <w:t xml:space="preserve">ctive to </w:t>
      </w:r>
      <w:r>
        <w:t>J</w:t>
      </w:r>
      <w:r w:rsidRPr="006F2343">
        <w:t xml:space="preserve">oin a </w:t>
      </w:r>
      <w:r>
        <w:t>P</w:t>
      </w:r>
      <w:r w:rsidRPr="006F2343">
        <w:t xml:space="preserve">olitical </w:t>
      </w:r>
      <w:r>
        <w:t>P</w:t>
      </w:r>
      <w:r w:rsidRPr="006F2343">
        <w:t xml:space="preserve">arty’ (2012) Democratization 683. </w:t>
      </w:r>
      <w:r>
        <w:t>&lt;</w:t>
      </w:r>
      <w:hyperlink r:id="rId14" w:history="1">
        <w:r w:rsidRPr="006C675E">
          <w:rPr>
            <w:rStyle w:val="Hyperlink"/>
          </w:rPr>
          <w:t>http://dx.doi.org/10.1080/13510347.2011.605998</w:t>
        </w:r>
      </w:hyperlink>
      <w:r>
        <w:t>&gt; accessed 6 February 2024.</w:t>
      </w:r>
    </w:p>
    <w:bookmarkEnd w:id="21"/>
  </w:footnote>
  <w:footnote w:id="39">
    <w:p w14:paraId="3D433EC5"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Westminster Foundation for Democracy</w:t>
      </w:r>
      <w:r>
        <w:t>, ‘</w:t>
      </w:r>
      <w:r w:rsidRPr="006F2343">
        <w:t>The Costs of Politics in Ghana 12</w:t>
      </w:r>
      <w:r>
        <w:t>–</w:t>
      </w:r>
      <w:r w:rsidRPr="006F2343">
        <w:t>16</w:t>
      </w:r>
      <w:r>
        <w:t>’</w:t>
      </w:r>
      <w:r w:rsidRPr="006F2343">
        <w:t xml:space="preserve"> </w:t>
      </w:r>
      <w:r>
        <w:t>&lt;</w:t>
      </w:r>
      <w:hyperlink r:id="rId15" w:history="1">
        <w:r w:rsidRPr="006C675E">
          <w:rPr>
            <w:rStyle w:val="Hyperlink"/>
          </w:rPr>
          <w:t>https://www.wfd.org/sites/default/files/2022-02/Cost_Of_Politics_Ghana.pdf</w:t>
        </w:r>
      </w:hyperlink>
      <w:r>
        <w:t>&gt;</w:t>
      </w:r>
      <w:r w:rsidRPr="006F2343">
        <w:t xml:space="preserve"> accessed 13 April 2024.  </w:t>
      </w:r>
    </w:p>
  </w:footnote>
  <w:footnote w:id="40">
    <w:p w14:paraId="57CBF178" w14:textId="77777777" w:rsidR="00537326" w:rsidRPr="006F2343" w:rsidRDefault="00537326" w:rsidP="00537326">
      <w:pPr>
        <w:pStyle w:val="Footnote"/>
      </w:pPr>
      <w:r w:rsidRPr="006F2343">
        <w:rPr>
          <w:rStyle w:val="FootnoteReference"/>
          <w:vertAlign w:val="baseline"/>
        </w:rPr>
        <w:footnoteRef/>
      </w:r>
      <w:bookmarkStart w:id="22" w:name="_Hlk163931929"/>
      <w:r w:rsidRPr="006F2343">
        <w:t xml:space="preserve"> </w:t>
      </w:r>
      <w:r>
        <w:tab/>
        <w:t>i</w:t>
      </w:r>
      <w:r w:rsidRPr="006F2343">
        <w:t>bid.</w:t>
      </w:r>
      <w:bookmarkEnd w:id="22"/>
    </w:p>
  </w:footnote>
  <w:footnote w:id="41">
    <w:p w14:paraId="45FB63A2" w14:textId="77777777" w:rsidR="00537326" w:rsidRPr="006F2343" w:rsidRDefault="00537326" w:rsidP="00537326">
      <w:pPr>
        <w:pStyle w:val="Footnote"/>
      </w:pPr>
      <w:r w:rsidRPr="006F2343">
        <w:rPr>
          <w:rStyle w:val="FootnoteReference"/>
          <w:vertAlign w:val="baseline"/>
        </w:rPr>
        <w:footnoteRef/>
      </w:r>
      <w:r>
        <w:t xml:space="preserve"> </w:t>
      </w:r>
      <w:r>
        <w:tab/>
      </w:r>
      <w:r w:rsidRPr="00640A3F">
        <w:t xml:space="preserve">Diana Højlund </w:t>
      </w:r>
      <w:r w:rsidRPr="006F2343">
        <w:t>Madsen</w:t>
      </w:r>
      <w:r>
        <w:t>,</w:t>
      </w:r>
      <w:r w:rsidRPr="006F2343">
        <w:t xml:space="preserve"> ‘Gender, Power and Institutional Change – The Role of Formal and Informal Institutions in Promoting Women’s Political Representation in Ghana’ (2019) JAAS 77</w:t>
      </w:r>
      <w:r>
        <w:t>–</w:t>
      </w:r>
      <w:r w:rsidRPr="006F2343">
        <w:t>79.</w:t>
      </w:r>
    </w:p>
  </w:footnote>
  <w:footnote w:id="42">
    <w:p w14:paraId="582A0BED"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2C05A3">
        <w:t xml:space="preserve">Akosua </w:t>
      </w:r>
      <w:proofErr w:type="spellStart"/>
      <w:r w:rsidRPr="002C05A3">
        <w:t>Ke</w:t>
      </w:r>
      <w:r>
        <w:t>seboa</w:t>
      </w:r>
      <w:proofErr w:type="spellEnd"/>
      <w:r w:rsidRPr="006F2343">
        <w:t xml:space="preserve"> Darkwah</w:t>
      </w:r>
      <w:r>
        <w:t>,</w:t>
      </w:r>
      <w:r w:rsidRPr="006F2343">
        <w:t xml:space="preserve"> ‘Education: Pathway to Empowerment for Ghanaian Women?’ (</w:t>
      </w:r>
      <w:r w:rsidRPr="006F2343">
        <w:rPr>
          <w:rFonts w:eastAsia="Houschka-MediumItalic"/>
        </w:rPr>
        <w:t xml:space="preserve">2010) </w:t>
      </w:r>
      <w:r w:rsidRPr="006F2343">
        <w:t>IDS Bulletin 29.</w:t>
      </w:r>
    </w:p>
  </w:footnote>
  <w:footnote w:id="43">
    <w:p w14:paraId="60186746"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Eliz</w:t>
      </w:r>
      <w:r>
        <w:t>a</w:t>
      </w:r>
      <w:r w:rsidRPr="006F2343">
        <w:t>b</w:t>
      </w:r>
      <w:r>
        <w:t xml:space="preserve">eth King </w:t>
      </w:r>
      <w:r w:rsidRPr="006F2343">
        <w:t xml:space="preserve">and </w:t>
      </w:r>
      <w:r w:rsidRPr="00974286">
        <w:t>Anne</w:t>
      </w:r>
      <w:r w:rsidRPr="006F2343">
        <w:t xml:space="preserve"> Hill</w:t>
      </w:r>
      <w:r>
        <w:t>,</w:t>
      </w:r>
      <w:r w:rsidRPr="006F2343">
        <w:t xml:space="preserve"> ‘Women’s Education in Developing Countries: Barriers, Benefits and Policies’ (1995) JDA 286. </w:t>
      </w:r>
    </w:p>
  </w:footnote>
  <w:footnote w:id="44">
    <w:p w14:paraId="233EE304"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CEDAW (n 30) art 10.</w:t>
      </w:r>
    </w:p>
  </w:footnote>
  <w:footnote w:id="45">
    <w:p w14:paraId="3E97CA39" w14:textId="77777777" w:rsidR="00537326" w:rsidRPr="006F2343" w:rsidRDefault="00537326" w:rsidP="00537326">
      <w:pPr>
        <w:pStyle w:val="Footnote"/>
      </w:pPr>
      <w:r w:rsidRPr="006F2343">
        <w:rPr>
          <w:rStyle w:val="FootnoteReference"/>
          <w:vertAlign w:val="baseline"/>
        </w:rPr>
        <w:footnoteRef/>
      </w:r>
      <w:r w:rsidRPr="006F2343">
        <w:t xml:space="preserve"> </w:t>
      </w:r>
      <w:r>
        <w:tab/>
        <w:t>‘</w:t>
      </w:r>
      <w:r w:rsidRPr="006F2343">
        <w:t xml:space="preserve">Ghana - Ratio of </w:t>
      </w:r>
      <w:r>
        <w:t>Gi</w:t>
      </w:r>
      <w:r w:rsidRPr="006F2343">
        <w:t xml:space="preserve">rls to </w:t>
      </w:r>
      <w:r>
        <w:t>B</w:t>
      </w:r>
      <w:r w:rsidRPr="006F2343">
        <w:t xml:space="preserve">oys in </w:t>
      </w:r>
      <w:r>
        <w:t>P</w:t>
      </w:r>
      <w:r w:rsidRPr="006F2343">
        <w:t xml:space="preserve">rimary and </w:t>
      </w:r>
      <w:r>
        <w:t>S</w:t>
      </w:r>
      <w:r w:rsidRPr="006F2343">
        <w:t xml:space="preserve">econdary </w:t>
      </w:r>
      <w:r>
        <w:t>E</w:t>
      </w:r>
      <w:r w:rsidRPr="006F2343">
        <w:t xml:space="preserve">ducation </w:t>
      </w:r>
      <w:r>
        <w:t>S</w:t>
      </w:r>
      <w:r w:rsidRPr="006F2343">
        <w:t xml:space="preserve">chool </w:t>
      </w:r>
      <w:r>
        <w:t>E</w:t>
      </w:r>
      <w:r w:rsidRPr="006F2343">
        <w:t xml:space="preserve">nrolment, </w:t>
      </w:r>
      <w:r>
        <w:t>P</w:t>
      </w:r>
      <w:r w:rsidRPr="006F2343">
        <w:t xml:space="preserve">rimary and </w:t>
      </w:r>
      <w:r>
        <w:t>S</w:t>
      </w:r>
      <w:r w:rsidRPr="006F2343">
        <w:t xml:space="preserve">econdary (gross), </w:t>
      </w:r>
      <w:r>
        <w:t>G</w:t>
      </w:r>
      <w:r w:rsidRPr="006F2343">
        <w:t xml:space="preserve">ender </w:t>
      </w:r>
      <w:r>
        <w:t>P</w:t>
      </w:r>
      <w:r w:rsidRPr="006F2343">
        <w:t xml:space="preserve">arity </w:t>
      </w:r>
      <w:r>
        <w:t>I</w:t>
      </w:r>
      <w:r w:rsidRPr="006F2343">
        <w:t>ndex</w:t>
      </w:r>
      <w:r>
        <w:t>’</w:t>
      </w:r>
      <w:r w:rsidRPr="006F2343">
        <w:t xml:space="preserve"> (GPI, 28 December 2020)</w:t>
      </w:r>
    </w:p>
    <w:p w14:paraId="6035C845" w14:textId="77777777" w:rsidR="00537326" w:rsidRPr="00CC1003" w:rsidRDefault="00537326" w:rsidP="00537326">
      <w:pPr>
        <w:pStyle w:val="Footnote"/>
        <w:rPr>
          <w:rFonts w:ascii="Tahoma" w:hAnsi="Tahoma" w:cs="Tahoma"/>
          <w:color w:val="000000"/>
          <w:sz w:val="20"/>
        </w:rPr>
      </w:pPr>
      <w:r w:rsidRPr="006F2343">
        <w:t xml:space="preserve"> </w:t>
      </w:r>
      <w:r>
        <w:tab/>
        <w:t>&lt;</w:t>
      </w:r>
      <w:hyperlink r:id="rId16" w:history="1">
        <w:r w:rsidRPr="006C675E">
          <w:rPr>
            <w:rStyle w:val="Hyperlink"/>
          </w:rPr>
          <w:t>https://www.indexmundi.com/facts/ghana/ratio-of-girls-to-boys-in-primary-and-secondary-education</w:t>
        </w:r>
      </w:hyperlink>
      <w:r>
        <w:t>&gt;</w:t>
      </w:r>
      <w:r w:rsidRPr="006F2343">
        <w:t xml:space="preserve"> accessed 6 February 2024.</w:t>
      </w:r>
    </w:p>
  </w:footnote>
  <w:footnote w:id="46">
    <w:p w14:paraId="0A50D78F" w14:textId="77777777" w:rsidR="00537326" w:rsidRPr="006F2343" w:rsidRDefault="00537326" w:rsidP="00537326">
      <w:pPr>
        <w:pStyle w:val="Footnote"/>
      </w:pPr>
      <w:r w:rsidRPr="006F2343">
        <w:rPr>
          <w:rStyle w:val="FootnoteReference"/>
          <w:vertAlign w:val="baseline"/>
        </w:rPr>
        <w:footnoteRef/>
      </w:r>
      <w:r>
        <w:t xml:space="preserve"> </w:t>
      </w:r>
      <w:r>
        <w:tab/>
      </w:r>
      <w:r w:rsidRPr="006F2343">
        <w:t xml:space="preserve">UNESCO Institute for Statistics (Ghana, December 2021) </w:t>
      </w:r>
      <w:r>
        <w:t>&lt;</w:t>
      </w:r>
      <w:hyperlink r:id="rId17" w:history="1">
        <w:r w:rsidRPr="00B13AC3">
          <w:rPr>
            <w:rStyle w:val="Hyperlink"/>
          </w:rPr>
          <w:t>https://uis.unesco.org/en/country/gh?theme=education-and-literacy</w:t>
        </w:r>
      </w:hyperlink>
      <w:r>
        <w:t>&gt;</w:t>
      </w:r>
      <w:r w:rsidRPr="006F2343">
        <w:t xml:space="preserve"> accessed 6 February 2024. </w:t>
      </w:r>
    </w:p>
  </w:footnote>
  <w:footnote w:id="47">
    <w:p w14:paraId="5A6A5048" w14:textId="77777777" w:rsidR="00537326" w:rsidRPr="006F2343" w:rsidRDefault="00537326" w:rsidP="00537326">
      <w:pPr>
        <w:pStyle w:val="Footnote"/>
      </w:pPr>
      <w:r w:rsidRPr="006F2343">
        <w:rPr>
          <w:rStyle w:val="FootnoteReference"/>
          <w:vertAlign w:val="baseline"/>
        </w:rPr>
        <w:footnoteRef/>
      </w:r>
      <w:r>
        <w:t xml:space="preserve"> </w:t>
      </w:r>
      <w:r>
        <w:tab/>
      </w:r>
      <w:r w:rsidRPr="006F2343">
        <w:t xml:space="preserve"> International Institute for Capacity Building in Africa Ghana: Education Country Brief  </w:t>
      </w:r>
      <w:r>
        <w:t>(</w:t>
      </w:r>
      <w:r w:rsidRPr="006F2343">
        <w:t xml:space="preserve">January 2024) </w:t>
      </w:r>
      <w:r>
        <w:t>&lt;</w:t>
      </w:r>
      <w:hyperlink r:id="rId18" w:anchor=":~:text=According%20to%20the%20World%20Bank,79%25%20for%20girls%20in%202019" w:history="1">
        <w:r w:rsidRPr="006C675E">
          <w:rPr>
            <w:rStyle w:val="Hyperlink"/>
          </w:rPr>
          <w:t>https://www.iicba.unesco.org/en/node/100#:~:text=According%20to%20the%20World%20Bank,79%25%20for%20girls%20in%202019</w:t>
        </w:r>
      </w:hyperlink>
      <w:r>
        <w:t>&gt;</w:t>
      </w:r>
      <w:r w:rsidRPr="006F2343">
        <w:t xml:space="preserve"> accessed 13 April 2024.</w:t>
      </w:r>
    </w:p>
  </w:footnote>
  <w:footnote w:id="48">
    <w:p w14:paraId="3B96B100"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Heather Barrigan</w:t>
      </w:r>
      <w:r>
        <w:t>,</w:t>
      </w:r>
      <w:r w:rsidRPr="006F2343">
        <w:t xml:space="preserve"> ‘Top 10 Facts About Girls’ Education In Ghana’ (The Borgen project, 16 December 2018) </w:t>
      </w:r>
      <w:r>
        <w:t>&lt;</w:t>
      </w:r>
      <w:hyperlink r:id="rId19" w:history="1">
        <w:r w:rsidRPr="006C675E">
          <w:rPr>
            <w:rStyle w:val="Hyperlink"/>
          </w:rPr>
          <w:t>https://borgenproject.org/top-10-facts-about-girls-education-in-ghana/</w:t>
        </w:r>
      </w:hyperlink>
      <w:r>
        <w:t>&gt;</w:t>
      </w:r>
      <w:r w:rsidRPr="006F2343">
        <w:t xml:space="preserve"> accessed 6 February 2024.</w:t>
      </w:r>
    </w:p>
  </w:footnote>
  <w:footnote w:id="49">
    <w:p w14:paraId="1F11147C" w14:textId="77777777" w:rsidR="00537326" w:rsidRPr="006F2343" w:rsidRDefault="00537326" w:rsidP="00537326">
      <w:pPr>
        <w:pStyle w:val="Footnote"/>
      </w:pPr>
      <w:r w:rsidRPr="006F2343">
        <w:rPr>
          <w:rStyle w:val="FootnoteReference"/>
          <w:vertAlign w:val="baseline"/>
        </w:rPr>
        <w:footnoteRef/>
      </w:r>
      <w:r w:rsidRPr="006F2343">
        <w:t xml:space="preserve"> </w:t>
      </w:r>
      <w:r>
        <w:tab/>
        <w:t>i</w:t>
      </w:r>
      <w:r w:rsidRPr="006F2343">
        <w:t>bid.</w:t>
      </w:r>
    </w:p>
  </w:footnote>
  <w:footnote w:id="50">
    <w:p w14:paraId="6D4B9776" w14:textId="77777777" w:rsidR="00537326" w:rsidRPr="006F2343" w:rsidRDefault="00537326" w:rsidP="00537326">
      <w:pPr>
        <w:pStyle w:val="Footnote"/>
      </w:pPr>
      <w:r w:rsidRPr="006F2343">
        <w:rPr>
          <w:rStyle w:val="FootnoteReference"/>
          <w:vertAlign w:val="baseline"/>
        </w:rPr>
        <w:footnoteRef/>
      </w:r>
      <w:r w:rsidRPr="006F2343">
        <w:t xml:space="preserve"> </w:t>
      </w:r>
      <w:bookmarkStart w:id="25" w:name="_Hlk128407271"/>
      <w:r>
        <w:tab/>
        <w:t>i</w:t>
      </w:r>
      <w:r w:rsidRPr="006F2343">
        <w:t>bid</w:t>
      </w:r>
      <w:bookmarkEnd w:id="25"/>
      <w:r w:rsidRPr="006F2343">
        <w:t>.</w:t>
      </w:r>
    </w:p>
  </w:footnote>
  <w:footnote w:id="51">
    <w:p w14:paraId="07FE6F79" w14:textId="77777777" w:rsidR="00537326" w:rsidRPr="00205B62" w:rsidRDefault="00537326" w:rsidP="00537326">
      <w:pPr>
        <w:pStyle w:val="Footnote"/>
      </w:pPr>
      <w:r w:rsidRPr="00205B62">
        <w:rPr>
          <w:rStyle w:val="FootnoteReference"/>
          <w:vertAlign w:val="baseline"/>
        </w:rPr>
        <w:footnoteRef/>
      </w:r>
      <w:r w:rsidRPr="00205B62">
        <w:t> </w:t>
      </w:r>
      <w:r>
        <w:tab/>
      </w:r>
      <w:r w:rsidRPr="00205B62">
        <w:t>Sally A Nuamah</w:t>
      </w:r>
      <w:r>
        <w:t>,</w:t>
      </w:r>
      <w:r w:rsidRPr="00205B62">
        <w:t xml:space="preserve"> ‘On the International Day of the Girl, </w:t>
      </w:r>
      <w:proofErr w:type="gramStart"/>
      <w:r>
        <w:t>I</w:t>
      </w:r>
      <w:r w:rsidRPr="00205B62">
        <w:t>t’s</w:t>
      </w:r>
      <w:proofErr w:type="gramEnd"/>
      <w:r w:rsidRPr="00205B62">
        <w:t xml:space="preserve"> a </w:t>
      </w:r>
      <w:r>
        <w:t>G</w:t>
      </w:r>
      <w:r w:rsidRPr="00205B62">
        <w:t xml:space="preserve">ood </w:t>
      </w:r>
      <w:r>
        <w:t>T</w:t>
      </w:r>
      <w:r w:rsidRPr="00205B62">
        <w:t xml:space="preserve">ime to </w:t>
      </w:r>
      <w:r>
        <w:t>A</w:t>
      </w:r>
      <w:r w:rsidRPr="00205B62">
        <w:t xml:space="preserve">sk: Are </w:t>
      </w:r>
      <w:r>
        <w:t>G</w:t>
      </w:r>
      <w:r w:rsidRPr="00205B62">
        <w:t xml:space="preserve">irls </w:t>
      </w:r>
      <w:r>
        <w:t>S</w:t>
      </w:r>
      <w:r w:rsidRPr="00205B62">
        <w:t xml:space="preserve">afe in </w:t>
      </w:r>
      <w:r>
        <w:t>S</w:t>
      </w:r>
      <w:r w:rsidRPr="00205B62">
        <w:t>chools?’ (</w:t>
      </w:r>
      <w:r w:rsidRPr="00171569">
        <w:rPr>
          <w:i/>
          <w:iCs/>
        </w:rPr>
        <w:t>The Washington Post</w:t>
      </w:r>
      <w:r w:rsidRPr="00205B62">
        <w:t xml:space="preserve">, October 11 2018) </w:t>
      </w:r>
      <w:r>
        <w:t>&lt;</w:t>
      </w:r>
      <w:hyperlink r:id="rId20" w:history="1">
        <w:r w:rsidRPr="006C675E">
          <w:rPr>
            <w:rStyle w:val="Hyperlink"/>
          </w:rPr>
          <w:t>https://www.washingtonpost.com/news/monkey-cage/wp/2018/10/11/on-the-international-day-of-the-girl-its-a-good-time-to-ask-are-girls-safe-in-schools/</w:t>
        </w:r>
      </w:hyperlink>
      <w:r>
        <w:t>&gt;</w:t>
      </w:r>
      <w:r w:rsidRPr="00205B62">
        <w:t xml:space="preserve"> accessed 6 February 2024. </w:t>
      </w:r>
    </w:p>
  </w:footnote>
  <w:footnote w:id="52">
    <w:p w14:paraId="4707341F"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 xml:space="preserve">bid. </w:t>
      </w:r>
    </w:p>
  </w:footnote>
  <w:footnote w:id="53">
    <w:p w14:paraId="7A6767D1"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Issac </w:t>
      </w:r>
      <w:proofErr w:type="spellStart"/>
      <w:r w:rsidRPr="00205B62">
        <w:t>Kaledzi</w:t>
      </w:r>
      <w:proofErr w:type="spellEnd"/>
      <w:r>
        <w:t>,</w:t>
      </w:r>
      <w:r w:rsidRPr="00205B62">
        <w:t xml:space="preserve"> ‘Opinion: Make </w:t>
      </w:r>
      <w:r>
        <w:t>S</w:t>
      </w:r>
      <w:r w:rsidRPr="00205B62">
        <w:t xml:space="preserve">anitary </w:t>
      </w:r>
      <w:r>
        <w:t>P</w:t>
      </w:r>
      <w:r w:rsidRPr="00205B62">
        <w:t xml:space="preserve">ads </w:t>
      </w:r>
      <w:r>
        <w:t>Z</w:t>
      </w:r>
      <w:r w:rsidRPr="00205B62">
        <w:t xml:space="preserve">ero </w:t>
      </w:r>
      <w:r>
        <w:t>T</w:t>
      </w:r>
      <w:r w:rsidRPr="00205B62">
        <w:t>ax in Ghana‘ (</w:t>
      </w:r>
      <w:r w:rsidRPr="00171569">
        <w:rPr>
          <w:i/>
          <w:iCs/>
        </w:rPr>
        <w:t>Africa Feeds</w:t>
      </w:r>
      <w:r w:rsidRPr="00205B62">
        <w:t xml:space="preserve">, 7 November 2018) </w:t>
      </w:r>
      <w:r>
        <w:t>&lt;</w:t>
      </w:r>
      <w:hyperlink r:id="rId21" w:history="1">
        <w:r w:rsidRPr="006C675E">
          <w:rPr>
            <w:rStyle w:val="Hyperlink"/>
          </w:rPr>
          <w:t>https://africafeeds.com/2018/11/07/opinion-make-sanitary-pads-zero-tax-in-ghana/</w:t>
        </w:r>
      </w:hyperlink>
      <w:r>
        <w:t>&gt;</w:t>
      </w:r>
      <w:r w:rsidRPr="00205B62">
        <w:t xml:space="preserve"> 6 February 2024. </w:t>
      </w:r>
    </w:p>
  </w:footnote>
  <w:footnote w:id="54">
    <w:p w14:paraId="6C06C5F8"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w:t>
      </w:r>
      <w:r>
        <w:t>.</w:t>
      </w:r>
    </w:p>
  </w:footnote>
  <w:footnote w:id="55">
    <w:p w14:paraId="5AE59D79" w14:textId="77777777" w:rsidR="00537326" w:rsidRPr="00205B62" w:rsidRDefault="00537326" w:rsidP="00537326">
      <w:pPr>
        <w:pStyle w:val="Footnote"/>
      </w:pPr>
      <w:r w:rsidRPr="00205B62">
        <w:rPr>
          <w:rStyle w:val="FootnoteReference"/>
          <w:vertAlign w:val="baseline"/>
        </w:rPr>
        <w:footnoteRef/>
      </w:r>
      <w:r w:rsidRPr="00205B62">
        <w:t xml:space="preserve"> </w:t>
      </w:r>
      <w:r>
        <w:t xml:space="preserve"> </w:t>
      </w:r>
      <w:r>
        <w:tab/>
      </w:r>
      <w:r w:rsidRPr="00C855E5">
        <w:t>L</w:t>
      </w:r>
      <w:r>
        <w:t xml:space="preserve">uky </w:t>
      </w:r>
      <w:proofErr w:type="spellStart"/>
      <w:r w:rsidRPr="009304A3">
        <w:t>Segkulu</w:t>
      </w:r>
      <w:proofErr w:type="spellEnd"/>
      <w:r w:rsidRPr="009304A3">
        <w:t xml:space="preserve"> </w:t>
      </w:r>
      <w:r>
        <w:t xml:space="preserve">and </w:t>
      </w:r>
      <w:r w:rsidRPr="00205B62">
        <w:t>Gyimah</w:t>
      </w:r>
      <w:r w:rsidRPr="001F1C4D">
        <w:rPr>
          <w:sz w:val="22"/>
          <w:szCs w:val="24"/>
        </w:rPr>
        <w:t xml:space="preserve"> </w:t>
      </w:r>
      <w:r w:rsidRPr="001F1C4D">
        <w:t>Emmanuel</w:t>
      </w:r>
      <w:r>
        <w:t xml:space="preserve">, </w:t>
      </w:r>
      <w:r w:rsidRPr="00205B62">
        <w:t>‘Women in Educational Leadership within the Tamale Metropolis Journal of Education and Practice’ (2016) JEP 64</w:t>
      </w:r>
      <w:r>
        <w:t xml:space="preserve"> &lt;</w:t>
      </w:r>
      <w:hyperlink r:id="rId22" w:history="1">
        <w:r w:rsidRPr="006C675E">
          <w:rPr>
            <w:rStyle w:val="Hyperlink"/>
          </w:rPr>
          <w:t>www.iiste.org</w:t>
        </w:r>
      </w:hyperlink>
      <w:r>
        <w:t>&gt;</w:t>
      </w:r>
      <w:r w:rsidRPr="00205B62">
        <w:t xml:space="preserve"> accessed 11 </w:t>
      </w:r>
      <w:bookmarkStart w:id="26" w:name="_Hlk128408691"/>
      <w:r w:rsidRPr="00205B62">
        <w:t>February 2023</w:t>
      </w:r>
      <w:bookmarkEnd w:id="26"/>
      <w:r w:rsidRPr="00205B62">
        <w:t xml:space="preserve">. </w:t>
      </w:r>
    </w:p>
  </w:footnote>
  <w:footnote w:id="56">
    <w:p w14:paraId="35D717D4" w14:textId="77777777" w:rsidR="00537326" w:rsidRPr="00B547C1" w:rsidRDefault="00537326" w:rsidP="00537326">
      <w:pPr>
        <w:pStyle w:val="Footnote"/>
        <w:rPr>
          <w:lang w:val="en-ZA"/>
        </w:rPr>
      </w:pPr>
      <w:r w:rsidRPr="00205B62">
        <w:rPr>
          <w:rStyle w:val="FootnoteReference"/>
          <w:vertAlign w:val="baseline"/>
        </w:rPr>
        <w:footnoteRef/>
      </w:r>
      <w:r w:rsidRPr="00B547C1">
        <w:rPr>
          <w:lang w:val="en-ZA"/>
        </w:rPr>
        <w:t xml:space="preserve"> </w:t>
      </w:r>
      <w:r w:rsidRPr="00B547C1">
        <w:rPr>
          <w:lang w:val="en-ZA"/>
        </w:rPr>
        <w:tab/>
        <w:t>ibid.</w:t>
      </w:r>
    </w:p>
  </w:footnote>
  <w:footnote w:id="57">
    <w:p w14:paraId="17B9F6EF" w14:textId="77777777" w:rsidR="00537326" w:rsidRPr="00B547C1" w:rsidRDefault="00537326" w:rsidP="00537326">
      <w:pPr>
        <w:pStyle w:val="Footnote"/>
        <w:rPr>
          <w:lang w:val="en-ZA"/>
        </w:rPr>
      </w:pPr>
      <w:r w:rsidRPr="00205B62">
        <w:rPr>
          <w:rStyle w:val="FootnoteReference"/>
          <w:vertAlign w:val="baseline"/>
        </w:rPr>
        <w:footnoteRef/>
      </w:r>
      <w:r w:rsidRPr="00B547C1">
        <w:rPr>
          <w:lang w:val="en-ZA"/>
        </w:rPr>
        <w:t xml:space="preserve">  </w:t>
      </w:r>
      <w:r w:rsidRPr="00B547C1">
        <w:rPr>
          <w:lang w:val="en-ZA"/>
        </w:rPr>
        <w:tab/>
        <w:t>ibid.</w:t>
      </w:r>
    </w:p>
  </w:footnote>
  <w:footnote w:id="58">
    <w:p w14:paraId="5442FD46" w14:textId="77777777" w:rsidR="00537326" w:rsidRPr="00B547C1" w:rsidRDefault="00537326" w:rsidP="00537326">
      <w:pPr>
        <w:pStyle w:val="Footnote"/>
        <w:rPr>
          <w:lang w:val="en-ZA"/>
        </w:rPr>
      </w:pPr>
      <w:r w:rsidRPr="00205B62">
        <w:rPr>
          <w:rStyle w:val="FootnoteReference"/>
          <w:vertAlign w:val="baseline"/>
        </w:rPr>
        <w:footnoteRef/>
      </w:r>
      <w:r w:rsidRPr="00B547C1">
        <w:rPr>
          <w:lang w:val="en-ZA"/>
        </w:rPr>
        <w:t xml:space="preserve"> </w:t>
      </w:r>
      <w:r w:rsidRPr="00B547C1">
        <w:rPr>
          <w:lang w:val="en-ZA"/>
        </w:rPr>
        <w:tab/>
        <w:t>ibid.</w:t>
      </w:r>
    </w:p>
  </w:footnote>
  <w:footnote w:id="59">
    <w:p w14:paraId="28FB4717" w14:textId="77777777" w:rsidR="00537326" w:rsidRPr="00205B62" w:rsidRDefault="00537326" w:rsidP="00537326">
      <w:pPr>
        <w:pStyle w:val="Footnote"/>
      </w:pPr>
      <w:r w:rsidRPr="00205B62">
        <w:rPr>
          <w:rStyle w:val="FootnoteReference"/>
          <w:vertAlign w:val="baseline"/>
        </w:rPr>
        <w:footnoteRef/>
      </w:r>
      <w:r w:rsidRPr="00205B62">
        <w:t xml:space="preserve"> </w:t>
      </w:r>
      <w:r>
        <w:t xml:space="preserve"> </w:t>
      </w:r>
      <w:r>
        <w:tab/>
      </w:r>
      <w:r w:rsidRPr="00205B62">
        <w:t>United Nations Women Watch</w:t>
      </w:r>
      <w:r>
        <w:t>,</w:t>
      </w:r>
      <w:r w:rsidRPr="00205B62">
        <w:t xml:space="preserve"> ‘The UN Internet Gateway on Gender Equality and Empowerment of Women Fact Sheet Women, Gender Equality and Climate Change’ </w:t>
      </w:r>
      <w:r>
        <w:t>&lt;</w:t>
      </w:r>
      <w:hyperlink r:id="rId23" w:history="1">
        <w:r w:rsidRPr="006C675E">
          <w:rPr>
            <w:rStyle w:val="Hyperlink"/>
          </w:rPr>
          <w:t>https://www.un.org/womenwatch/feature/climate_change/downloads/Women_and_Climate_Change_Factsheet.pdf</w:t>
        </w:r>
      </w:hyperlink>
      <w:r>
        <w:t>&gt;</w:t>
      </w:r>
      <w:r w:rsidRPr="00205B62">
        <w:t xml:space="preserve"> accessed 12 February 2024.</w:t>
      </w:r>
    </w:p>
  </w:footnote>
  <w:footnote w:id="60">
    <w:p w14:paraId="4AE2FCF8"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Rose Mensah-</w:t>
      </w:r>
      <w:proofErr w:type="spellStart"/>
      <w:r w:rsidRPr="00205B62">
        <w:t>Kutin</w:t>
      </w:r>
      <w:proofErr w:type="spellEnd"/>
      <w:r>
        <w:t>,</w:t>
      </w:r>
      <w:r w:rsidRPr="00205B62">
        <w:t xml:space="preserve"> ‘Case Study: Gender, Human Security and Climate Change in Ghana’ (</w:t>
      </w:r>
      <w:proofErr w:type="spellStart"/>
      <w:r w:rsidRPr="00205B62">
        <w:t>Abantu</w:t>
      </w:r>
      <w:proofErr w:type="spellEnd"/>
      <w:r w:rsidRPr="00205B62">
        <w:t xml:space="preserve"> for Development in Ghana 2008) </w:t>
      </w:r>
      <w:r>
        <w:t>&lt;</w:t>
      </w:r>
      <w:hyperlink r:id="rId24" w:history="1">
        <w:r w:rsidRPr="006C675E">
          <w:rPr>
            <w:rStyle w:val="Hyperlink"/>
          </w:rPr>
          <w:t>https://wedo.org/wp-content/uploads/ghana-case-study.pdf</w:t>
        </w:r>
      </w:hyperlink>
      <w:r>
        <w:t>&gt;</w:t>
      </w:r>
      <w:r w:rsidRPr="00205B62">
        <w:t xml:space="preserve"> accessed 12 February 2024.</w:t>
      </w:r>
    </w:p>
  </w:footnote>
  <w:footnote w:id="61">
    <w:p w14:paraId="010F981B"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8C544E">
        <w:t xml:space="preserve">Tracy </w:t>
      </w:r>
      <w:r w:rsidRPr="00205B62">
        <w:t>Higgins and Jeanmarie Fenrich</w:t>
      </w:r>
      <w:r>
        <w:t>,</w:t>
      </w:r>
      <w:r w:rsidRPr="00205B62">
        <w:t xml:space="preserve"> ‘Legal Pluralism, Gender, </w:t>
      </w:r>
      <w:r>
        <w:t>a</w:t>
      </w:r>
      <w:r w:rsidRPr="00205B62">
        <w:t>nd Access to Land in Ghana’ (2012) FELR 7.</w:t>
      </w:r>
    </w:p>
  </w:footnote>
  <w:footnote w:id="62">
    <w:p w14:paraId="4E4AE766"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 (n 61) 7.</w:t>
      </w:r>
    </w:p>
  </w:footnote>
  <w:footnote w:id="63">
    <w:p w14:paraId="2A9C189C"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Yianna Lambrou and </w:t>
      </w:r>
      <w:r w:rsidRPr="0036116D">
        <w:t>Gr</w:t>
      </w:r>
      <w:r>
        <w:t>azia</w:t>
      </w:r>
      <w:r w:rsidRPr="00205B62">
        <w:t xml:space="preserve"> Piana</w:t>
      </w:r>
      <w:r>
        <w:t>,</w:t>
      </w:r>
      <w:r w:rsidRPr="00205B62">
        <w:t xml:space="preserve"> ‘Energy and Gender Issues in Rural Sustainable Development (Food and Agriculture Organization of the United Nations 2006)</w:t>
      </w:r>
    </w:p>
    <w:p w14:paraId="4168F4D5" w14:textId="77777777" w:rsidR="00537326" w:rsidRPr="00CC1003" w:rsidRDefault="00537326" w:rsidP="00537326">
      <w:pPr>
        <w:pStyle w:val="Footnote"/>
        <w:ind w:firstLine="0"/>
      </w:pPr>
      <w:r>
        <w:t>&lt;</w:t>
      </w:r>
      <w:hyperlink r:id="rId25" w:history="1">
        <w:r w:rsidRPr="006C675E">
          <w:rPr>
            <w:rStyle w:val="Hyperlink"/>
          </w:rPr>
          <w:t>https://www.fao.org/3/ai021e/ai021e00.htm</w:t>
        </w:r>
      </w:hyperlink>
      <w:r>
        <w:t>&gt;</w:t>
      </w:r>
      <w:r w:rsidRPr="00205B62">
        <w:t xml:space="preserve"> accessed 7 February 2024.</w:t>
      </w:r>
    </w:p>
  </w:footnote>
  <w:footnote w:id="64">
    <w:p w14:paraId="72857940"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Anantha Kumar </w:t>
      </w:r>
      <w:proofErr w:type="spellStart"/>
      <w:r w:rsidRPr="00205B62">
        <w:t>Duraiappah</w:t>
      </w:r>
      <w:proofErr w:type="spellEnd"/>
      <w:r w:rsidRPr="00205B62">
        <w:t xml:space="preserve"> and Shahid Naeem</w:t>
      </w:r>
      <w:r>
        <w:t>,</w:t>
      </w:r>
      <w:r w:rsidRPr="00205B62">
        <w:t xml:space="preserve"> ‘Ecosystems and Human Well-being: Biodiversity Synthesis. Millennium Ecosystem </w:t>
      </w:r>
      <w:r>
        <w:t>Assessment’</w:t>
      </w:r>
      <w:r w:rsidRPr="00205B62">
        <w:t xml:space="preserve"> (World Resources Institute</w:t>
      </w:r>
      <w:r>
        <w:t xml:space="preserve"> </w:t>
      </w:r>
      <w:r w:rsidRPr="00205B62">
        <w:t>2005)</w:t>
      </w:r>
    </w:p>
    <w:p w14:paraId="05897F58" w14:textId="77777777" w:rsidR="00537326" w:rsidRPr="00205B62" w:rsidRDefault="00537326" w:rsidP="00537326">
      <w:pPr>
        <w:pStyle w:val="Footnote"/>
        <w:ind w:firstLine="0"/>
      </w:pPr>
      <w:r>
        <w:t>&lt;</w:t>
      </w:r>
      <w:hyperlink r:id="rId26" w:history="1">
        <w:r w:rsidRPr="006C675E">
          <w:rPr>
            <w:rStyle w:val="Hyperlink"/>
          </w:rPr>
          <w:t>https://www.millenniumassessment.org/documents/document.354.aspx.pdf</w:t>
        </w:r>
      </w:hyperlink>
      <w:r>
        <w:t>&gt;</w:t>
      </w:r>
      <w:r w:rsidRPr="00205B62">
        <w:t xml:space="preserve"> accessed 7 February 2024.</w:t>
      </w:r>
    </w:p>
  </w:footnote>
  <w:footnote w:id="65">
    <w:p w14:paraId="06E70673" w14:textId="77777777" w:rsidR="00537326" w:rsidRPr="00CC1003" w:rsidRDefault="00537326" w:rsidP="00537326">
      <w:pPr>
        <w:pStyle w:val="Footnote"/>
      </w:pPr>
      <w:r w:rsidRPr="00205B62">
        <w:rPr>
          <w:rStyle w:val="FootnoteReference"/>
          <w:vertAlign w:val="baseline"/>
        </w:rPr>
        <w:footnoteRef/>
      </w:r>
      <w:r w:rsidRPr="00205B62">
        <w:t xml:space="preserve"> </w:t>
      </w:r>
      <w:r>
        <w:tab/>
        <w:t>i</w:t>
      </w:r>
      <w:r w:rsidRPr="00205B62">
        <w:t>bid.</w:t>
      </w:r>
      <w:r w:rsidRPr="00CC1003">
        <w:t xml:space="preserve"> </w:t>
      </w:r>
    </w:p>
  </w:footnote>
  <w:footnote w:id="66">
    <w:p w14:paraId="67EF1515"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Kyung </w:t>
      </w:r>
      <w:proofErr w:type="spellStart"/>
      <w:r w:rsidRPr="00205B62">
        <w:t>wha</w:t>
      </w:r>
      <w:proofErr w:type="spellEnd"/>
      <w:r w:rsidRPr="00205B62">
        <w:t>-Kang</w:t>
      </w:r>
      <w:r>
        <w:t>,</w:t>
      </w:r>
      <w:r w:rsidRPr="00205B62">
        <w:t xml:space="preserve"> ‘Climate Change, Migration and Human Rights’ (Keynote address at Conference on Climate Change and Migration: Addressing Vulnerabilities and Harnessing Opportunities Geneva, 13 September 2011) </w:t>
      </w:r>
      <w:r>
        <w:t>&lt;</w:t>
      </w:r>
      <w:hyperlink r:id="rId27" w:history="1">
        <w:r w:rsidRPr="006C675E">
          <w:rPr>
            <w:rStyle w:val="Hyperlink"/>
          </w:rPr>
          <w:t>https://www.ohchr.org/en/statements/2012/01/united-nations-deputy-high-commissioner-human-rights-ms-kyung-wha-kang-human</w:t>
        </w:r>
      </w:hyperlink>
      <w:r>
        <w:t>&gt;</w:t>
      </w:r>
      <w:r w:rsidRPr="00205B62">
        <w:t xml:space="preserve"> accessed 17 February 2024.</w:t>
      </w:r>
    </w:p>
  </w:footnote>
  <w:footnote w:id="67">
    <w:p w14:paraId="5A08C661"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Janet Kwami</w:t>
      </w:r>
      <w:r>
        <w:t>,</w:t>
      </w:r>
      <w:r w:rsidRPr="00205B62">
        <w:t xml:space="preserve"> ‘Gendered Digital Inequities in African Contexts: Measuring and Bridging the Gaps’ (2021) 16 Ada AJGNMT 4 </w:t>
      </w:r>
      <w:r>
        <w:t>&lt;</w:t>
      </w:r>
      <w:hyperlink r:id="rId28" w:history="1">
        <w:r w:rsidRPr="006C675E">
          <w:rPr>
            <w:rStyle w:val="Hyperlink"/>
          </w:rPr>
          <w:t>https://scholarsbank.uoregon.edu/xmlui/handle/1794/26828</w:t>
        </w:r>
      </w:hyperlink>
      <w:r>
        <w:t>&gt;</w:t>
      </w:r>
      <w:r w:rsidRPr="00205B62">
        <w:t xml:space="preserve"> </w:t>
      </w:r>
      <w:bookmarkStart w:id="27" w:name="_Hlk174910124"/>
      <w:r w:rsidRPr="00205B62">
        <w:t>accessed 14 February 2024.</w:t>
      </w:r>
    </w:p>
    <w:bookmarkEnd w:id="27"/>
  </w:footnote>
  <w:footnote w:id="68">
    <w:p w14:paraId="1DAF6BD4"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Sam Rex </w:t>
      </w:r>
      <w:proofErr w:type="spellStart"/>
      <w:r w:rsidRPr="00205B62">
        <w:t>Sagoe</w:t>
      </w:r>
      <w:proofErr w:type="spellEnd"/>
      <w:r w:rsidRPr="00205B62">
        <w:t xml:space="preserve"> Babo and Augustina Odame</w:t>
      </w:r>
      <w:r>
        <w:t>,</w:t>
      </w:r>
      <w:r w:rsidRPr="00205B62">
        <w:t xml:space="preserve"> ‘Where </w:t>
      </w:r>
      <w:r>
        <w:t>have</w:t>
      </w:r>
      <w:r w:rsidRPr="00205B62">
        <w:t xml:space="preserve"> all the </w:t>
      </w:r>
      <w:r>
        <w:t>W</w:t>
      </w:r>
      <w:r w:rsidRPr="00205B62">
        <w:t xml:space="preserve">omen </w:t>
      </w:r>
      <w:r>
        <w:t>G</w:t>
      </w:r>
      <w:r w:rsidRPr="00205B62">
        <w:t xml:space="preserve">one? The </w:t>
      </w:r>
      <w:r>
        <w:t>G</w:t>
      </w:r>
      <w:r w:rsidRPr="00205B62">
        <w:t xml:space="preserve">ender </w:t>
      </w:r>
      <w:r>
        <w:t>G</w:t>
      </w:r>
      <w:r w:rsidRPr="00205B62">
        <w:t xml:space="preserve">ap in Ghana’s </w:t>
      </w:r>
      <w:r>
        <w:t>G</w:t>
      </w:r>
      <w:r w:rsidRPr="00205B62">
        <w:t xml:space="preserve">ig </w:t>
      </w:r>
      <w:r>
        <w:t>E</w:t>
      </w:r>
      <w:r w:rsidRPr="00205B62">
        <w:t xml:space="preserve">conomy’ </w:t>
      </w:r>
      <w:r>
        <w:t>&lt;</w:t>
      </w:r>
      <w:hyperlink r:id="rId29" w:history="1">
        <w:r w:rsidRPr="006C675E">
          <w:rPr>
            <w:rStyle w:val="Hyperlink"/>
          </w:rPr>
          <w:t>https://www.hiig.de/wp-content/uploads/2023/05/HIIG_DP_2023_2_BABO_ODAME.pdf</w:t>
        </w:r>
      </w:hyperlink>
      <w:r>
        <w:t>&gt;</w:t>
      </w:r>
      <w:r w:rsidRPr="00205B62">
        <w:t xml:space="preserve"> accessed 21 April 2024.</w:t>
      </w:r>
    </w:p>
  </w:footnote>
  <w:footnote w:id="69">
    <w:p w14:paraId="6DC86FC4"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w:t>
      </w:r>
    </w:p>
  </w:footnote>
  <w:footnote w:id="70">
    <w:p w14:paraId="3D74A48B"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Plan International</w:t>
      </w:r>
      <w:r>
        <w:t>,</w:t>
      </w:r>
      <w:r w:rsidRPr="00205B62">
        <w:t xml:space="preserve"> ‘</w:t>
      </w:r>
      <w:r>
        <w:t>Four</w:t>
      </w:r>
      <w:r w:rsidRPr="00205B62">
        <w:t xml:space="preserve"> </w:t>
      </w:r>
      <w:r>
        <w:t>S</w:t>
      </w:r>
      <w:r w:rsidRPr="00205B62">
        <w:t xml:space="preserve">teps to </w:t>
      </w:r>
      <w:r>
        <w:t>A</w:t>
      </w:r>
      <w:r w:rsidRPr="00205B62">
        <w:t xml:space="preserve">dvance </w:t>
      </w:r>
      <w:r>
        <w:t>D</w:t>
      </w:r>
      <w:r w:rsidRPr="00205B62">
        <w:t xml:space="preserve">igital </w:t>
      </w:r>
      <w:r>
        <w:t>E</w:t>
      </w:r>
      <w:r w:rsidRPr="00205B62">
        <w:t xml:space="preserve">quality for </w:t>
      </w:r>
      <w:r>
        <w:t>G</w:t>
      </w:r>
      <w:r w:rsidRPr="00205B62">
        <w:t>irls’ (Plan International</w:t>
      </w:r>
      <w:r>
        <w:t xml:space="preserve"> </w:t>
      </w:r>
      <w:r w:rsidRPr="00205B62">
        <w:t>2018)</w:t>
      </w:r>
    </w:p>
    <w:p w14:paraId="3ED94987" w14:textId="77777777" w:rsidR="00537326" w:rsidRPr="00205B62" w:rsidRDefault="00537326" w:rsidP="00537326">
      <w:pPr>
        <w:pStyle w:val="Footnote"/>
      </w:pPr>
      <w:r w:rsidRPr="00205B62">
        <w:t xml:space="preserve"> </w:t>
      </w:r>
      <w:r>
        <w:tab/>
        <w:t>&lt;</w:t>
      </w:r>
      <w:hyperlink r:id="rId30" w:history="1">
        <w:r w:rsidRPr="006C675E">
          <w:rPr>
            <w:rStyle w:val="Hyperlink"/>
          </w:rPr>
          <w:t>https://plan-international.org/case-studies/4-steps-to-advance-digital-equality-for-girls/</w:t>
        </w:r>
      </w:hyperlink>
      <w:r>
        <w:t>&gt;</w:t>
      </w:r>
      <w:r w:rsidRPr="00205B62">
        <w:t xml:space="preserve"> </w:t>
      </w:r>
      <w:bookmarkStart w:id="28" w:name="_Hlk174910432"/>
      <w:r w:rsidRPr="00205B62">
        <w:t>accessed 14 February 2024.</w:t>
      </w:r>
    </w:p>
    <w:bookmarkEnd w:id="28"/>
  </w:footnote>
  <w:footnote w:id="71">
    <w:p w14:paraId="30E6A280"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5764D8">
        <w:t>Ah</w:t>
      </w:r>
      <w:r>
        <w:t>med</w:t>
      </w:r>
      <w:r w:rsidRPr="00205B62">
        <w:t xml:space="preserve"> </w:t>
      </w:r>
      <w:proofErr w:type="spellStart"/>
      <w:r w:rsidRPr="00205B62">
        <w:t>Tufeiru</w:t>
      </w:r>
      <w:proofErr w:type="spellEnd"/>
      <w:r>
        <w:t>,</w:t>
      </w:r>
      <w:r w:rsidRPr="00205B62">
        <w:t xml:space="preserve"> ‘The Nexus of Female Capital and </w:t>
      </w:r>
      <w:r>
        <w:t>North-South</w:t>
      </w:r>
      <w:r w:rsidRPr="00205B62">
        <w:t xml:space="preserve"> Labour Migration in Ghana a Potential Remedy from Microfinance’ (2014) JDS 95.</w:t>
      </w:r>
    </w:p>
  </w:footnote>
  <w:footnote w:id="72">
    <w:p w14:paraId="1AF4D5E7"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5764D8">
        <w:t>Chr</w:t>
      </w:r>
      <w:r>
        <w:t>istine</w:t>
      </w:r>
      <w:r w:rsidRPr="00205B62">
        <w:t xml:space="preserve"> </w:t>
      </w:r>
      <w:proofErr w:type="spellStart"/>
      <w:r w:rsidRPr="00205B62">
        <w:t>Dowuona</w:t>
      </w:r>
      <w:proofErr w:type="spellEnd"/>
      <w:r w:rsidRPr="00205B62">
        <w:t xml:space="preserve">-Hammond </w:t>
      </w:r>
      <w:r>
        <w:t xml:space="preserve">and others, </w:t>
      </w:r>
      <w:r w:rsidRPr="00205B62">
        <w:t>‘Women’s Survival in Ghana: What Has Law Got to Do with It?’</w:t>
      </w:r>
      <w:r w:rsidRPr="00205B62">
        <w:rPr>
          <w:rFonts w:eastAsia="Gill Sans"/>
        </w:rPr>
        <w:t xml:space="preserve"> </w:t>
      </w:r>
      <w:r w:rsidRPr="00205B62">
        <w:t>(2020) Sage Open 7.</w:t>
      </w:r>
    </w:p>
  </w:footnote>
  <w:footnote w:id="73">
    <w:p w14:paraId="3DBECABF"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The Constitution of Ghana </w:t>
      </w:r>
      <w:r>
        <w:t>(n 2)</w:t>
      </w:r>
      <w:r w:rsidRPr="00205B62">
        <w:t xml:space="preserve"> art 36 (6). </w:t>
      </w:r>
    </w:p>
  </w:footnote>
  <w:footnote w:id="74">
    <w:p w14:paraId="5B74D455" w14:textId="77777777" w:rsidR="00537326" w:rsidRPr="00CC1003" w:rsidRDefault="00537326" w:rsidP="00537326">
      <w:pPr>
        <w:pStyle w:val="Footnote"/>
      </w:pPr>
      <w:r w:rsidRPr="00205B62">
        <w:rPr>
          <w:rStyle w:val="FootnoteReference"/>
          <w:vertAlign w:val="baseline"/>
        </w:rPr>
        <w:footnoteRef/>
      </w:r>
      <w:r w:rsidRPr="00205B62">
        <w:t xml:space="preserve"> </w:t>
      </w:r>
      <w:r>
        <w:tab/>
      </w:r>
      <w:proofErr w:type="spellStart"/>
      <w:r>
        <w:t>Dowuona</w:t>
      </w:r>
      <w:proofErr w:type="spellEnd"/>
      <w:r>
        <w:t xml:space="preserve">-Hammond </w:t>
      </w:r>
      <w:r w:rsidRPr="00205B62">
        <w:t>(n 72) 7.</w:t>
      </w:r>
    </w:p>
  </w:footnote>
  <w:footnote w:id="75">
    <w:p w14:paraId="2C029DA4"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The Constitution of Ghana </w:t>
      </w:r>
      <w:r>
        <w:t>(n 2)</w:t>
      </w:r>
      <w:r w:rsidRPr="00205B62">
        <w:t xml:space="preserve"> art 106 (7); </w:t>
      </w:r>
      <w:r>
        <w:t xml:space="preserve">Plan </w:t>
      </w:r>
      <w:r w:rsidRPr="00205B62">
        <w:t>(n 70) 7.</w:t>
      </w:r>
    </w:p>
  </w:footnote>
  <w:footnote w:id="76">
    <w:p w14:paraId="7B667178" w14:textId="77777777" w:rsidR="00537326" w:rsidRPr="00205B62" w:rsidRDefault="00537326" w:rsidP="00537326">
      <w:pPr>
        <w:pStyle w:val="Footnote"/>
      </w:pPr>
      <w:r w:rsidRPr="00205B62">
        <w:rPr>
          <w:rStyle w:val="FootnoteReference"/>
          <w:vertAlign w:val="baseline"/>
        </w:rPr>
        <w:footnoteRef/>
      </w:r>
      <w:r w:rsidRPr="00205B62">
        <w:t xml:space="preserve"> </w:t>
      </w:r>
      <w:r>
        <w:tab/>
      </w:r>
      <w:proofErr w:type="spellStart"/>
      <w:r>
        <w:t>Douwona</w:t>
      </w:r>
      <w:proofErr w:type="spellEnd"/>
      <w:r>
        <w:t>-Hammond</w:t>
      </w:r>
      <w:r w:rsidRPr="00205B62">
        <w:t xml:space="preserve"> (n 72) 7.</w:t>
      </w:r>
    </w:p>
  </w:footnote>
  <w:footnote w:id="77">
    <w:p w14:paraId="241C0115"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CEDAW (n 30) art 13.</w:t>
      </w:r>
    </w:p>
  </w:footnote>
  <w:footnote w:id="78">
    <w:p w14:paraId="6162391A"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CEDAW (n 30) art 14 (1).</w:t>
      </w:r>
    </w:p>
  </w:footnote>
  <w:footnote w:id="79">
    <w:p w14:paraId="10357650"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CEDAW (n 30) art 14(2)(e).</w:t>
      </w:r>
    </w:p>
  </w:footnote>
  <w:footnote w:id="80">
    <w:p w14:paraId="6E0882B2" w14:textId="77777777" w:rsidR="00537326" w:rsidRPr="00205B62" w:rsidRDefault="00537326" w:rsidP="00537326">
      <w:pPr>
        <w:pStyle w:val="Footnote"/>
      </w:pPr>
      <w:r w:rsidRPr="00205B62">
        <w:rPr>
          <w:rStyle w:val="FootnoteReference"/>
          <w:vertAlign w:val="baseline"/>
        </w:rPr>
        <w:footnoteRef/>
      </w:r>
      <w:r>
        <w:t xml:space="preserve"> </w:t>
      </w:r>
      <w:r>
        <w:tab/>
      </w:r>
      <w:r w:rsidRPr="00205B62">
        <w:t xml:space="preserve">African Union Gender Policy (REV 2 /Feb 10, 2009) 1 </w:t>
      </w:r>
      <w:r>
        <w:t>&lt;</w:t>
      </w:r>
      <w:hyperlink r:id="rId31" w:history="1">
        <w:r w:rsidRPr="006C675E">
          <w:rPr>
            <w:rStyle w:val="Hyperlink"/>
          </w:rPr>
          <w:t>https://www.usip.org/sites/default/files/Gender/African_Union_Gender_Policy_2009.pdf</w:t>
        </w:r>
      </w:hyperlink>
      <w:r>
        <w:t>&gt;</w:t>
      </w:r>
      <w:r w:rsidRPr="00205B62">
        <w:t xml:space="preserve">  accessed 23 April 2024 </w:t>
      </w:r>
    </w:p>
  </w:footnote>
  <w:footnote w:id="81">
    <w:p w14:paraId="578AEA3D"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The Solemn Declaration on Gender Equality in Africa (SDGEA) was adopted by AU Heads of State and Government at their July 2004 Summit</w:t>
      </w:r>
    </w:p>
  </w:footnote>
  <w:footnote w:id="82">
    <w:p w14:paraId="0748FE81" w14:textId="77777777" w:rsidR="00537326" w:rsidRPr="00205B62" w:rsidRDefault="00537326" w:rsidP="00537326">
      <w:pPr>
        <w:pStyle w:val="Footnote"/>
      </w:pPr>
      <w:r w:rsidRPr="00205B62">
        <w:rPr>
          <w:rStyle w:val="FootnoteReference"/>
          <w:vertAlign w:val="baseline"/>
        </w:rPr>
        <w:footnoteRef/>
      </w:r>
      <w:r w:rsidRPr="00205B62">
        <w:t xml:space="preserve"> </w:t>
      </w:r>
      <w:r>
        <w:tab/>
        <w:t xml:space="preserve">African Union </w:t>
      </w:r>
      <w:r w:rsidRPr="00205B62">
        <w:t>(n 80) 1</w:t>
      </w:r>
    </w:p>
  </w:footnote>
  <w:footnote w:id="83">
    <w:p w14:paraId="16585443" w14:textId="77777777" w:rsidR="00537326" w:rsidRPr="00CC1003" w:rsidRDefault="00537326" w:rsidP="00537326">
      <w:pPr>
        <w:pStyle w:val="Footnote"/>
        <w:rPr>
          <w:lang w:val="en-US"/>
        </w:rPr>
      </w:pPr>
      <w:r w:rsidRPr="00205B62">
        <w:rPr>
          <w:rStyle w:val="FootnoteReference"/>
          <w:vertAlign w:val="baseline"/>
        </w:rPr>
        <w:footnoteRef/>
      </w:r>
      <w:r w:rsidRPr="00205B62">
        <w:t xml:space="preserve"> </w:t>
      </w:r>
      <w:r>
        <w:tab/>
      </w:r>
      <w:r w:rsidRPr="00205B62">
        <w:t>Matilda Lasseko-Phooko</w:t>
      </w:r>
      <w:r>
        <w:t>,</w:t>
      </w:r>
      <w:r w:rsidRPr="00205B62">
        <w:t xml:space="preserve"> ‘Ghana </w:t>
      </w:r>
      <w:r>
        <w:t>C</w:t>
      </w:r>
      <w:r w:rsidRPr="00205B62">
        <w:t xml:space="preserve">ommits to </w:t>
      </w:r>
      <w:r>
        <w:t>S</w:t>
      </w:r>
      <w:r w:rsidRPr="00205B62">
        <w:t xml:space="preserve">ubmitting </w:t>
      </w:r>
      <w:r>
        <w:t>O</w:t>
      </w:r>
      <w:r w:rsidRPr="00205B62">
        <w:t xml:space="preserve">utstanding </w:t>
      </w:r>
      <w:r>
        <w:t>S</w:t>
      </w:r>
      <w:r w:rsidRPr="00205B62">
        <w:t xml:space="preserve">tate </w:t>
      </w:r>
      <w:r>
        <w:t>R</w:t>
      </w:r>
      <w:r w:rsidRPr="00205B62">
        <w:t xml:space="preserve">eports to the African Commission on Human and Peoples’ Rights’ (15 March 2023) </w:t>
      </w:r>
      <w:r>
        <w:t>&lt;</w:t>
      </w:r>
      <w:hyperlink r:id="rId32" w:history="1">
        <w:r w:rsidRPr="006C675E">
          <w:rPr>
            <w:rStyle w:val="Hyperlink"/>
          </w:rPr>
          <w:t>https://www.chr.up.ac.za/latest-news/3256-ghana-commits-to-submitting-outstanding-state-reports-to-the-african-commission-on-human-and-peoples-rights</w:t>
        </w:r>
      </w:hyperlink>
      <w:r>
        <w:t>&gt;</w:t>
      </w:r>
      <w:r w:rsidRPr="00205B62">
        <w:t xml:space="preserve"> accessed 23 April 2024. </w:t>
      </w:r>
    </w:p>
  </w:footnote>
  <w:footnote w:id="84">
    <w:p w14:paraId="55A5470F" w14:textId="77777777" w:rsidR="00537326" w:rsidRPr="00205B62" w:rsidRDefault="00537326" w:rsidP="00537326">
      <w:pPr>
        <w:pStyle w:val="Footnote"/>
      </w:pPr>
      <w:r w:rsidRPr="007422B7">
        <w:footnoteRef/>
      </w:r>
      <w:r w:rsidRPr="007422B7">
        <w:t xml:space="preserve"> </w:t>
      </w:r>
      <w:r>
        <w:tab/>
      </w:r>
      <w:r w:rsidRPr="006C3997">
        <w:t xml:space="preserve">Godwin </w:t>
      </w:r>
      <w:proofErr w:type="spellStart"/>
      <w:r w:rsidRPr="00CC1003">
        <w:t>Dzah</w:t>
      </w:r>
      <w:proofErr w:type="spellEnd"/>
      <w:r>
        <w:t>,</w:t>
      </w:r>
      <w:r w:rsidRPr="00CC1003">
        <w:t xml:space="preserve"> </w:t>
      </w:r>
      <w:r>
        <w:t>‘</w:t>
      </w:r>
      <w:r w:rsidRPr="00CC1003">
        <w:t xml:space="preserve">Transcending </w:t>
      </w:r>
      <w:r>
        <w:t>D</w:t>
      </w:r>
      <w:r w:rsidRPr="00CC1003">
        <w:t xml:space="preserve">ualism: Deconstructing </w:t>
      </w:r>
      <w:r>
        <w:t>C</w:t>
      </w:r>
      <w:r w:rsidRPr="00CC1003">
        <w:t xml:space="preserve">olonial </w:t>
      </w:r>
      <w:r>
        <w:t>V</w:t>
      </w:r>
      <w:r w:rsidRPr="00CC1003">
        <w:t>estiges in Ghana</w:t>
      </w:r>
      <w:r>
        <w:t>’</w:t>
      </w:r>
      <w:r w:rsidRPr="00CC1003">
        <w:t xml:space="preserve">s </w:t>
      </w:r>
      <w:r>
        <w:t>T</w:t>
      </w:r>
      <w:r w:rsidRPr="00CC1003">
        <w:t xml:space="preserve">reaty </w:t>
      </w:r>
      <w:r>
        <w:t>L</w:t>
      </w:r>
      <w:r w:rsidRPr="00CC1003">
        <w:t xml:space="preserve">aw and </w:t>
      </w:r>
      <w:r>
        <w:t>P</w:t>
      </w:r>
      <w:r w:rsidRPr="00CC1003">
        <w:t>ractice</w:t>
      </w:r>
      <w:r>
        <w:t>’</w:t>
      </w:r>
      <w:r w:rsidRPr="00CC1003">
        <w:t xml:space="preserve"> in </w:t>
      </w:r>
      <w:r w:rsidRPr="00535B6D">
        <w:t>Michel</w:t>
      </w:r>
      <w:r w:rsidRPr="00CC1003">
        <w:t xml:space="preserve"> Addaney, </w:t>
      </w:r>
      <w:r w:rsidRPr="00535B6D">
        <w:t>Michel Gyan</w:t>
      </w:r>
      <w:r>
        <w:t xml:space="preserve"> </w:t>
      </w:r>
      <w:r w:rsidRPr="00CC1003">
        <w:t xml:space="preserve">Nyarko </w:t>
      </w:r>
      <w:r>
        <w:t xml:space="preserve">and </w:t>
      </w:r>
      <w:proofErr w:type="spellStart"/>
      <w:r>
        <w:t>Elsabe</w:t>
      </w:r>
      <w:r w:rsidRPr="00CC1003">
        <w:t>Boshoff</w:t>
      </w:r>
      <w:proofErr w:type="spellEnd"/>
      <w:r w:rsidRPr="00CC1003">
        <w:t xml:space="preserve"> (eds) </w:t>
      </w:r>
      <w:r w:rsidRPr="00E9243F">
        <w:rPr>
          <w:i/>
          <w:iCs/>
        </w:rPr>
        <w:t xml:space="preserve">Governance, Human Rights and Political Transformation in Africa </w:t>
      </w:r>
      <w:r w:rsidRPr="00CC1003">
        <w:t>(</w:t>
      </w:r>
      <w:r>
        <w:t xml:space="preserve">Macmillan </w:t>
      </w:r>
      <w:r w:rsidRPr="00CC1003">
        <w:t xml:space="preserve">2020) </w:t>
      </w:r>
      <w:r w:rsidRPr="00E65A61">
        <w:t xml:space="preserve">125 </w:t>
      </w:r>
      <w:r>
        <w:t>&lt;</w:t>
      </w:r>
      <w:hyperlink r:id="rId33" w:history="1">
        <w:r w:rsidRPr="00171569">
          <w:t>https://doi.org/10.1007/978-3-030-27049-0</w:t>
        </w:r>
      </w:hyperlink>
      <w:bookmarkStart w:id="30" w:name="_Hlk164287437"/>
      <w:r>
        <w:rPr>
          <w:rFonts w:ascii="Tahoma" w:hAnsi="Tahoma" w:cs="Tahoma"/>
        </w:rPr>
        <w:t>&gt;</w:t>
      </w:r>
      <w:r>
        <w:t xml:space="preserve">; </w:t>
      </w:r>
      <w:proofErr w:type="spellStart"/>
      <w:r w:rsidRPr="00CC1003">
        <w:t>Namaran</w:t>
      </w:r>
      <w:proofErr w:type="spellEnd"/>
      <w:r w:rsidRPr="00CC1003">
        <w:t xml:space="preserve"> Coulibaly</w:t>
      </w:r>
      <w:r>
        <w:t>,</w:t>
      </w:r>
      <w:r w:rsidRPr="00CC1003">
        <w:t xml:space="preserve"> ‘The Impact </w:t>
      </w:r>
      <w:r>
        <w:t>o</w:t>
      </w:r>
      <w:r w:rsidRPr="00CC1003">
        <w:t xml:space="preserve">f The Maputo Protocol In Ghana’ </w:t>
      </w:r>
      <w:r>
        <w:t>i</w:t>
      </w:r>
      <w:r w:rsidRPr="00CC1003">
        <w:t xml:space="preserve">n </w:t>
      </w:r>
      <w:r w:rsidRPr="001C3A24">
        <w:t>Susan</w:t>
      </w:r>
      <w:r w:rsidRPr="00205B62">
        <w:t xml:space="preserve"> </w:t>
      </w:r>
      <w:proofErr w:type="spellStart"/>
      <w:r w:rsidRPr="00205B62">
        <w:t>Mutambasere</w:t>
      </w:r>
      <w:proofErr w:type="spellEnd"/>
      <w:r w:rsidRPr="00205B62">
        <w:t xml:space="preserve">, </w:t>
      </w:r>
      <w:proofErr w:type="spellStart"/>
      <w:r w:rsidRPr="00406DC3">
        <w:t>Ashwanee</w:t>
      </w:r>
      <w:proofErr w:type="spellEnd"/>
      <w:r w:rsidRPr="00406DC3">
        <w:t xml:space="preserve"> </w:t>
      </w:r>
      <w:r w:rsidRPr="00205B62">
        <w:t xml:space="preserve">Budoo-Scholtz and </w:t>
      </w:r>
      <w:r w:rsidRPr="00406DC3">
        <w:t xml:space="preserve">Davina Murden </w:t>
      </w:r>
      <w:r w:rsidRPr="00205B62">
        <w:t xml:space="preserve">(eds) </w:t>
      </w:r>
      <w:r w:rsidRPr="00171569">
        <w:rPr>
          <w:i/>
          <w:iCs/>
        </w:rPr>
        <w:t xml:space="preserve">The </w:t>
      </w:r>
      <w:r>
        <w:rPr>
          <w:i/>
          <w:iCs/>
        </w:rPr>
        <w:t>I</w:t>
      </w:r>
      <w:r w:rsidRPr="00171569">
        <w:rPr>
          <w:i/>
          <w:iCs/>
        </w:rPr>
        <w:t xml:space="preserve">mpact of the Maputo Protocol in </w:t>
      </w:r>
      <w:r>
        <w:rPr>
          <w:i/>
          <w:iCs/>
        </w:rPr>
        <w:t>S</w:t>
      </w:r>
      <w:r w:rsidRPr="00171569">
        <w:rPr>
          <w:i/>
          <w:iCs/>
        </w:rPr>
        <w:t xml:space="preserve">elected African </w:t>
      </w:r>
      <w:r>
        <w:rPr>
          <w:i/>
          <w:iCs/>
        </w:rPr>
        <w:t>S</w:t>
      </w:r>
      <w:r w:rsidRPr="00171569">
        <w:rPr>
          <w:i/>
          <w:iCs/>
        </w:rPr>
        <w:t>tates</w:t>
      </w:r>
      <w:r w:rsidRPr="00205B62">
        <w:t xml:space="preserve"> (2023) 138. </w:t>
      </w:r>
      <w:bookmarkEnd w:id="30"/>
    </w:p>
  </w:footnote>
  <w:footnote w:id="85">
    <w:p w14:paraId="40A3F78C" w14:textId="77777777" w:rsidR="00537326" w:rsidRPr="00205B62" w:rsidRDefault="00537326" w:rsidP="00537326">
      <w:pPr>
        <w:pStyle w:val="Footnote"/>
      </w:pPr>
      <w:r w:rsidRPr="00205B62">
        <w:rPr>
          <w:rStyle w:val="FootnoteReference"/>
          <w:vertAlign w:val="baseline"/>
        </w:rPr>
        <w:footnoteRef/>
      </w:r>
      <w:r w:rsidRPr="00205B62">
        <w:t xml:space="preserve"> </w:t>
      </w:r>
      <w:bookmarkStart w:id="31" w:name="_Hlk164157508"/>
      <w:r>
        <w:tab/>
      </w:r>
      <w:r w:rsidRPr="00205B62">
        <w:t xml:space="preserve">The Constitution of Ghana </w:t>
      </w:r>
      <w:r>
        <w:t>(n2</w:t>
      </w:r>
      <w:r w:rsidRPr="00205B62">
        <w:t xml:space="preserve"> art 75</w:t>
      </w:r>
      <w:r>
        <w:t>)</w:t>
      </w:r>
      <w:r w:rsidRPr="00205B62">
        <w:t>.</w:t>
      </w:r>
      <w:bookmarkEnd w:id="31"/>
    </w:p>
  </w:footnote>
  <w:footnote w:id="86">
    <w:p w14:paraId="6D5C7B51"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w:t>
      </w:r>
      <w:r>
        <w:t xml:space="preserve">, </w:t>
      </w:r>
      <w:r w:rsidRPr="00205B62">
        <w:t>679.</w:t>
      </w:r>
    </w:p>
  </w:footnote>
  <w:footnote w:id="87">
    <w:p w14:paraId="0FF3BAE1" w14:textId="77777777" w:rsidR="00537326" w:rsidRPr="00205B62" w:rsidRDefault="00537326" w:rsidP="00537326">
      <w:pPr>
        <w:pStyle w:val="Footnote"/>
      </w:pPr>
      <w:r w:rsidRPr="00205B62">
        <w:rPr>
          <w:rStyle w:val="FootnoteReference"/>
          <w:vertAlign w:val="baseline"/>
        </w:rPr>
        <w:footnoteRef/>
      </w:r>
      <w:r w:rsidRPr="00205B62">
        <w:t xml:space="preserve"> </w:t>
      </w:r>
      <w:r>
        <w:tab/>
        <w:t xml:space="preserve">ibid </w:t>
      </w:r>
      <w:r w:rsidRPr="00205B62">
        <w:t>art 75.</w:t>
      </w:r>
    </w:p>
  </w:footnote>
  <w:footnote w:id="88">
    <w:p w14:paraId="1455054F"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171569">
        <w:rPr>
          <w:i/>
          <w:iCs/>
        </w:rPr>
        <w:t xml:space="preserve">Magaret </w:t>
      </w:r>
      <w:proofErr w:type="spellStart"/>
      <w:r w:rsidRPr="00171569">
        <w:rPr>
          <w:i/>
          <w:iCs/>
        </w:rPr>
        <w:t>Banful</w:t>
      </w:r>
      <w:proofErr w:type="spellEnd"/>
      <w:r w:rsidRPr="00171569">
        <w:rPr>
          <w:i/>
          <w:iCs/>
        </w:rPr>
        <w:t xml:space="preserve"> and Henry Nana Boakye v Attorney-General</w:t>
      </w:r>
      <w:r w:rsidRPr="00205B62">
        <w:t xml:space="preserve"> </w:t>
      </w:r>
      <w:r>
        <w:t xml:space="preserve">[2017] </w:t>
      </w:r>
      <w:r w:rsidRPr="00205B62">
        <w:t>(Writ no. J1/7/2016) unreported. (Judgement: 22 June 2017)</w:t>
      </w:r>
      <w:r>
        <w:t>.</w:t>
      </w:r>
    </w:p>
  </w:footnote>
  <w:footnote w:id="89">
    <w:p w14:paraId="1CB96AB0"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The Constitution of Ghana </w:t>
      </w:r>
      <w:r>
        <w:t>(n 2)</w:t>
      </w:r>
      <w:r w:rsidRPr="00205B62">
        <w:t xml:space="preserve"> art 37(3) read in tandem with 75.</w:t>
      </w:r>
    </w:p>
  </w:footnote>
  <w:footnote w:id="90">
    <w:p w14:paraId="103EA441" w14:textId="77777777" w:rsidR="00537326" w:rsidRPr="00205B62" w:rsidRDefault="00537326" w:rsidP="00537326">
      <w:pPr>
        <w:pStyle w:val="Footnote"/>
      </w:pPr>
      <w:r w:rsidRPr="00205B62">
        <w:rPr>
          <w:rStyle w:val="FootnoteReference"/>
          <w:vertAlign w:val="baseline"/>
        </w:rPr>
        <w:footnoteRef/>
      </w:r>
      <w:r w:rsidRPr="00205B62">
        <w:t xml:space="preserve"> </w:t>
      </w:r>
      <w:bookmarkStart w:id="32" w:name="_Hlk164076140"/>
      <w:r>
        <w:tab/>
      </w:r>
      <w:r w:rsidRPr="00205B62">
        <w:t>The Constitution of Ghana</w:t>
      </w:r>
      <w:r>
        <w:t xml:space="preserve"> (n 2)</w:t>
      </w:r>
      <w:r w:rsidRPr="00205B62">
        <w:t xml:space="preserve"> art 35(5)</w:t>
      </w:r>
      <w:bookmarkEnd w:id="32"/>
      <w:r w:rsidRPr="00205B62">
        <w:t xml:space="preserve">. </w:t>
      </w:r>
    </w:p>
  </w:footnote>
  <w:footnote w:id="91">
    <w:p w14:paraId="4E2FFB93"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171569">
        <w:rPr>
          <w:i/>
          <w:iCs/>
        </w:rPr>
        <w:t>New Patriotic Party v Attorney-General</w:t>
      </w:r>
      <w:r w:rsidRPr="00205B62">
        <w:t xml:space="preserve"> [1997</w:t>
      </w:r>
      <w:r>
        <w:t>–</w:t>
      </w:r>
      <w:r w:rsidRPr="00205B62">
        <w:t>98] 1 GLR 378; Micheal Gyan Nyarko</w:t>
      </w:r>
      <w:r>
        <w:t>,</w:t>
      </w:r>
      <w:r w:rsidRPr="00205B62">
        <w:t xml:space="preserve"> </w:t>
      </w:r>
      <w:r>
        <w:t>‘</w:t>
      </w:r>
      <w:r w:rsidRPr="00205B62">
        <w:t xml:space="preserve">The </w:t>
      </w:r>
      <w:r>
        <w:t>I</w:t>
      </w:r>
      <w:r w:rsidRPr="00205B62">
        <w:t>mpact of the African Charter and Maputo Protocol in Ghana</w:t>
      </w:r>
      <w:r>
        <w:t>’</w:t>
      </w:r>
      <w:r w:rsidRPr="00205B62">
        <w:t xml:space="preserve"> </w:t>
      </w:r>
      <w:r>
        <w:t>i</w:t>
      </w:r>
      <w:r w:rsidRPr="00205B62">
        <w:t xml:space="preserve">n Victor Ayeni </w:t>
      </w:r>
      <w:r>
        <w:t xml:space="preserve">(ed), </w:t>
      </w:r>
      <w:r w:rsidRPr="00171569">
        <w:rPr>
          <w:i/>
          <w:iCs/>
        </w:rPr>
        <w:t xml:space="preserve">The Impact of the African Charter and the Maputo Protocol in </w:t>
      </w:r>
      <w:r>
        <w:rPr>
          <w:i/>
          <w:iCs/>
        </w:rPr>
        <w:t>S</w:t>
      </w:r>
      <w:r w:rsidRPr="00171569">
        <w:rPr>
          <w:i/>
          <w:iCs/>
        </w:rPr>
        <w:t xml:space="preserve">elected African states </w:t>
      </w:r>
      <w:r w:rsidRPr="00205B62">
        <w:t>(P</w:t>
      </w:r>
      <w:r>
        <w:t>ULP 2016</w:t>
      </w:r>
      <w:r w:rsidRPr="00205B62">
        <w:t>) 99</w:t>
      </w:r>
      <w:r>
        <w:t>.</w:t>
      </w:r>
    </w:p>
  </w:footnote>
  <w:footnote w:id="92">
    <w:p w14:paraId="21D30574" w14:textId="77777777" w:rsidR="00537326" w:rsidRPr="00205B62" w:rsidRDefault="00537326" w:rsidP="00537326">
      <w:pPr>
        <w:pStyle w:val="Footnote"/>
      </w:pPr>
      <w:r w:rsidRPr="00205B62">
        <w:rPr>
          <w:rStyle w:val="FootnoteReference"/>
          <w:vertAlign w:val="baseline"/>
        </w:rPr>
        <w:footnoteRef/>
      </w:r>
      <w:r>
        <w:t xml:space="preserve"> </w:t>
      </w:r>
      <w:r>
        <w:tab/>
      </w:r>
      <w:r w:rsidRPr="00171569">
        <w:rPr>
          <w:i/>
          <w:iCs/>
        </w:rPr>
        <w:t>Ghana Lotto Operators Association &amp; Others v National Lottery Authority</w:t>
      </w:r>
      <w:r w:rsidRPr="00205B62">
        <w:t xml:space="preserve"> [2007</w:t>
      </w:r>
      <w:r>
        <w:t>–</w:t>
      </w:r>
      <w:r w:rsidRPr="00205B62">
        <w:t>2008] SCGLR 1088 1096.</w:t>
      </w:r>
    </w:p>
  </w:footnote>
  <w:footnote w:id="93">
    <w:p w14:paraId="3784FED2"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The Constitution of Ghana </w:t>
      </w:r>
      <w:r>
        <w:t xml:space="preserve">(n 2) </w:t>
      </w:r>
      <w:r w:rsidRPr="00205B62">
        <w:t>art 35(5)</w:t>
      </w:r>
      <w:r>
        <w:t>.</w:t>
      </w:r>
    </w:p>
  </w:footnote>
  <w:footnote w:id="94">
    <w:p w14:paraId="0430834D"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OECD, </w:t>
      </w:r>
      <w:r>
        <w:t>‘</w:t>
      </w:r>
      <w:r w:rsidRPr="00205B62">
        <w:t>Advancing Gender Balance in the Workforce: A Collective Responsibility: Gender Balance Network, Forum on Tax Administration</w:t>
      </w:r>
      <w:r>
        <w:t>’</w:t>
      </w:r>
      <w:r w:rsidRPr="00205B62">
        <w:t xml:space="preserve"> </w:t>
      </w:r>
      <w:r>
        <w:t>(</w:t>
      </w:r>
      <w:r w:rsidRPr="00205B62">
        <w:t>OECD</w:t>
      </w:r>
      <w:r>
        <w:t xml:space="preserve"> 2017)</w:t>
      </w:r>
    </w:p>
    <w:p w14:paraId="5429DF9D" w14:textId="77777777" w:rsidR="00537326" w:rsidRPr="00205B62" w:rsidRDefault="00537326" w:rsidP="00537326">
      <w:pPr>
        <w:pStyle w:val="Footnote"/>
        <w:ind w:firstLine="0"/>
      </w:pPr>
      <w:r>
        <w:t>&lt;</w:t>
      </w:r>
      <w:hyperlink r:id="rId34" w:history="1">
        <w:r w:rsidRPr="006C675E">
          <w:rPr>
            <w:rStyle w:val="Hyperlink"/>
          </w:rPr>
          <w:t>www.oecd.org/tax/forum-on-tax-administration/publications-and-products/advancing-gender-balance-in-theworkforce-a-collective-responsibility.htm</w:t>
        </w:r>
      </w:hyperlink>
      <w:r>
        <w:t>&gt;</w:t>
      </w:r>
      <w:r w:rsidRPr="00205B62">
        <w:t xml:space="preserve"> </w:t>
      </w:r>
      <w:bookmarkStart w:id="33" w:name="_Hlk174910401"/>
      <w:r w:rsidRPr="00205B62">
        <w:t xml:space="preserve">accessed 16 April 2024. </w:t>
      </w:r>
      <w:bookmarkEnd w:id="33"/>
    </w:p>
  </w:footnote>
  <w:footnote w:id="95">
    <w:p w14:paraId="65745E2D" w14:textId="77777777" w:rsidR="00537326" w:rsidRPr="00205B62" w:rsidRDefault="00537326" w:rsidP="00537326">
      <w:pPr>
        <w:pStyle w:val="Footnote"/>
      </w:pPr>
      <w:r w:rsidRPr="00205B62">
        <w:rPr>
          <w:rStyle w:val="FootnoteReference"/>
          <w:vertAlign w:val="baseline"/>
        </w:rPr>
        <w:footnoteRef/>
      </w:r>
      <w:r>
        <w:t xml:space="preserve"> </w:t>
      </w:r>
      <w:r>
        <w:tab/>
      </w:r>
      <w:r w:rsidRPr="00205B62">
        <w:t xml:space="preserve">The Constitution of Ghana </w:t>
      </w:r>
      <w:r>
        <w:t>(n 2)</w:t>
      </w:r>
      <w:r w:rsidRPr="00205B62">
        <w:t xml:space="preserve"> art 35(5)</w:t>
      </w:r>
      <w:r>
        <w:t>.</w:t>
      </w:r>
    </w:p>
  </w:footnote>
  <w:footnote w:id="96">
    <w:p w14:paraId="3C4DE3E0" w14:textId="77777777" w:rsidR="00537326" w:rsidRPr="00205B62" w:rsidRDefault="00537326" w:rsidP="00537326">
      <w:pPr>
        <w:pStyle w:val="Footnote"/>
      </w:pPr>
      <w:r w:rsidRPr="00205B62">
        <w:rPr>
          <w:rStyle w:val="FootnoteReference"/>
          <w:vertAlign w:val="baseline"/>
        </w:rPr>
        <w:footnoteRef/>
      </w:r>
      <w:r w:rsidRPr="00205B62">
        <w:t xml:space="preserve"> </w:t>
      </w:r>
      <w:r>
        <w:tab/>
      </w:r>
      <w:proofErr w:type="spellStart"/>
      <w:r>
        <w:t>Dzah</w:t>
      </w:r>
      <w:proofErr w:type="spellEnd"/>
      <w:r w:rsidRPr="00205B62">
        <w:t xml:space="preserve"> (n 84) 126.</w:t>
      </w:r>
    </w:p>
  </w:footnote>
  <w:footnote w:id="97">
    <w:p w14:paraId="132BE810"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See dissenting opinion in </w:t>
      </w:r>
      <w:proofErr w:type="spellStart"/>
      <w:r w:rsidRPr="00171569">
        <w:rPr>
          <w:i/>
          <w:iCs/>
        </w:rPr>
        <w:t>Ezuame</w:t>
      </w:r>
      <w:proofErr w:type="spellEnd"/>
      <w:r w:rsidRPr="00171569">
        <w:rPr>
          <w:i/>
          <w:iCs/>
        </w:rPr>
        <w:t xml:space="preserve"> Mannan v The Attorney-General and Speaker of Parliament</w:t>
      </w:r>
      <w:r w:rsidRPr="00205B62">
        <w:t xml:space="preserve"> (2022) JELR 109828 (SC) on justiciability. </w:t>
      </w:r>
    </w:p>
  </w:footnote>
  <w:footnote w:id="98">
    <w:p w14:paraId="16725F91"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Protocol to the African Charter on Human and Peoples</w:t>
      </w:r>
      <w:r>
        <w:t>’</w:t>
      </w:r>
      <w:r w:rsidRPr="00205B62">
        <w:t xml:space="preserve"> Rights on The Rights of Women in Africa Adopted by the 2nd Ordinary Session of the Assembly of the Union Maputo, 11 July 2003 </w:t>
      </w:r>
      <w:proofErr w:type="spellStart"/>
      <w:r w:rsidRPr="00205B62">
        <w:t>art</w:t>
      </w:r>
      <w:proofErr w:type="spellEnd"/>
      <w:r w:rsidRPr="00205B62">
        <w:t xml:space="preserve"> 9.</w:t>
      </w:r>
    </w:p>
  </w:footnote>
  <w:footnote w:id="99">
    <w:p w14:paraId="3CC90888" w14:textId="77777777" w:rsidR="00537326" w:rsidRPr="00205B62" w:rsidRDefault="00537326" w:rsidP="00537326">
      <w:pPr>
        <w:pStyle w:val="Footnote"/>
      </w:pPr>
      <w:r w:rsidRPr="00205B62">
        <w:rPr>
          <w:rStyle w:val="FootnoteReference"/>
          <w:vertAlign w:val="baseline"/>
        </w:rPr>
        <w:footnoteRef/>
      </w:r>
      <w:r w:rsidRPr="00205B62">
        <w:t xml:space="preserve"> </w:t>
      </w:r>
      <w:bookmarkStart w:id="36" w:name="_Hlk128434614"/>
      <w:r>
        <w:tab/>
        <w:t>i</w:t>
      </w:r>
      <w:r w:rsidRPr="00205B62">
        <w:t xml:space="preserve">bid </w:t>
      </w:r>
      <w:r>
        <w:t>A</w:t>
      </w:r>
      <w:r w:rsidRPr="00205B62">
        <w:t xml:space="preserve">rt </w:t>
      </w:r>
      <w:bookmarkEnd w:id="36"/>
      <w:r w:rsidRPr="00205B62">
        <w:t>12.</w:t>
      </w:r>
    </w:p>
  </w:footnote>
  <w:footnote w:id="100">
    <w:p w14:paraId="07590E7E"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Maame Adwoa A. </w:t>
      </w:r>
      <w:proofErr w:type="spellStart"/>
      <w:r w:rsidRPr="00205B62">
        <w:t>Gyekye-Jandoh</w:t>
      </w:r>
      <w:proofErr w:type="spellEnd"/>
      <w:r>
        <w:t>,</w:t>
      </w:r>
      <w:r w:rsidRPr="00205B62">
        <w:t xml:space="preserve"> ‘Gender in Ghanaian Politics: A Brief Analysis’ (Australian </w:t>
      </w:r>
      <w:r>
        <w:t>I</w:t>
      </w:r>
      <w:r w:rsidRPr="00205B62">
        <w:t xml:space="preserve">nstitute of </w:t>
      </w:r>
      <w:r>
        <w:t>International Affairs</w:t>
      </w:r>
      <w:r w:rsidRPr="00205B62">
        <w:t xml:space="preserve">, 24 November 2021) </w:t>
      </w:r>
      <w:r>
        <w:t>&lt;</w:t>
      </w:r>
      <w:hyperlink r:id="rId35" w:history="1">
        <w:r w:rsidRPr="006C675E">
          <w:rPr>
            <w:rStyle w:val="Hyperlink"/>
          </w:rPr>
          <w:t>https://www.internationalaffairs.org.au/australianoutlook/gender-ghanaian-politics-brief-analysis/</w:t>
        </w:r>
      </w:hyperlink>
      <w:r>
        <w:t>&gt;</w:t>
      </w:r>
      <w:r w:rsidRPr="00205B62">
        <w:t xml:space="preserve"> </w:t>
      </w:r>
      <w:bookmarkStart w:id="37" w:name="_Hlk174910254"/>
      <w:r w:rsidRPr="00205B62">
        <w:t>accessed 14 February 2024.</w:t>
      </w:r>
      <w:bookmarkEnd w:id="37"/>
    </w:p>
  </w:footnote>
  <w:footnote w:id="101">
    <w:p w14:paraId="7E8DBD61"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Claire Devlin and Robert Elgie</w:t>
      </w:r>
      <w:r>
        <w:t>,</w:t>
      </w:r>
      <w:r w:rsidRPr="00205B62">
        <w:t xml:space="preserve"> ‘The Effect of Increased Women</w:t>
      </w:r>
      <w:r>
        <w:t>’</w:t>
      </w:r>
      <w:r w:rsidRPr="00205B62">
        <w:t>s Representation in Parliament: The Case of Rwanda’ (2008) Parliamentary Affairs 248.</w:t>
      </w:r>
    </w:p>
  </w:footnote>
  <w:footnote w:id="102">
    <w:p w14:paraId="1EA728A1" w14:textId="77777777" w:rsidR="00537326" w:rsidRPr="00CC1003" w:rsidRDefault="00537326" w:rsidP="00537326">
      <w:pPr>
        <w:pStyle w:val="Footnote"/>
      </w:pPr>
      <w:r w:rsidRPr="0028231D">
        <w:footnoteRef/>
      </w:r>
      <w:r w:rsidRPr="0028231D">
        <w:t xml:space="preserve"> </w:t>
      </w:r>
      <w:r>
        <w:tab/>
        <w:t>Protocol</w:t>
      </w:r>
      <w:r w:rsidRPr="00CC1003">
        <w:t xml:space="preserve"> (n </w:t>
      </w:r>
      <w:r>
        <w:t>98</w:t>
      </w:r>
      <w:r w:rsidRPr="00CC1003">
        <w:t xml:space="preserve">) </w:t>
      </w:r>
      <w:r>
        <w:t>A</w:t>
      </w:r>
      <w:r w:rsidRPr="00CC1003">
        <w:t xml:space="preserve">rt 9(2)(a). </w:t>
      </w:r>
    </w:p>
  </w:footnote>
  <w:footnote w:id="103">
    <w:p w14:paraId="0DCE5BAB" w14:textId="77777777" w:rsidR="00537326" w:rsidRPr="00CC1003" w:rsidRDefault="00537326" w:rsidP="00537326">
      <w:pPr>
        <w:pStyle w:val="Footnote"/>
      </w:pPr>
      <w:r w:rsidRPr="0028231D">
        <w:footnoteRef/>
      </w:r>
      <w:r w:rsidRPr="00CC1003">
        <w:t xml:space="preserve"> </w:t>
      </w:r>
      <w:r>
        <w:tab/>
        <w:t>i</w:t>
      </w:r>
      <w:r w:rsidRPr="00CC1003">
        <w:t xml:space="preserve">bid </w:t>
      </w:r>
      <w:r>
        <w:t>A</w:t>
      </w:r>
      <w:r w:rsidRPr="00CC1003">
        <w:t>rt 12.</w:t>
      </w:r>
    </w:p>
  </w:footnote>
  <w:footnote w:id="104">
    <w:p w14:paraId="409F64EB"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 xml:space="preserve">bid </w:t>
      </w:r>
      <w:r>
        <w:t>Art</w:t>
      </w:r>
      <w:r w:rsidRPr="00205B62">
        <w:t xml:space="preserve"> 18.</w:t>
      </w:r>
    </w:p>
  </w:footnote>
  <w:footnote w:id="105">
    <w:p w14:paraId="3DEF753F"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 (n 9</w:t>
      </w:r>
      <w:r>
        <w:t>8</w:t>
      </w:r>
      <w:r w:rsidRPr="00205B62">
        <w:t>) art 18(2)(a).</w:t>
      </w:r>
    </w:p>
    <w:bookmarkStart w:id="38" w:name="_heading=h.3whwml4" w:colFirst="0" w:colLast="0"/>
    <w:bookmarkEnd w:id="38"/>
  </w:footnote>
  <w:footnote w:id="106">
    <w:p w14:paraId="2671BE9D" w14:textId="77777777" w:rsidR="00537326" w:rsidRPr="00205B62" w:rsidRDefault="00537326" w:rsidP="00537326">
      <w:pPr>
        <w:pStyle w:val="Footnote"/>
      </w:pPr>
      <w:bookmarkStart w:id="39" w:name="_heading=h.3whwml4" w:colFirst="0" w:colLast="0"/>
      <w:bookmarkEnd w:id="39"/>
      <w:r w:rsidRPr="00205B62">
        <w:rPr>
          <w:rStyle w:val="FootnoteReference"/>
          <w:vertAlign w:val="baseline"/>
        </w:rPr>
        <w:footnoteRef/>
      </w:r>
      <w:r w:rsidRPr="00205B62">
        <w:t xml:space="preserve"> </w:t>
      </w:r>
      <w:r>
        <w:tab/>
        <w:t>i</w:t>
      </w:r>
      <w:r w:rsidRPr="00205B62">
        <w:t>bid (n 9</w:t>
      </w:r>
      <w:r>
        <w:t>8</w:t>
      </w:r>
      <w:r w:rsidRPr="00205B62">
        <w:t>) art 12(2)(b).</w:t>
      </w:r>
    </w:p>
  </w:footnote>
  <w:footnote w:id="107">
    <w:p w14:paraId="74AA66DF"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Association of </w:t>
      </w:r>
      <w:r>
        <w:t>P</w:t>
      </w:r>
      <w:r w:rsidRPr="00205B62">
        <w:t xml:space="preserve">rogressive </w:t>
      </w:r>
      <w:r>
        <w:t>C</w:t>
      </w:r>
      <w:r w:rsidRPr="00205B62">
        <w:t>ommunications</w:t>
      </w:r>
      <w:r>
        <w:t>,</w:t>
      </w:r>
      <w:r w:rsidRPr="00205B62">
        <w:t xml:space="preserve"> ‘Digital </w:t>
      </w:r>
      <w:r>
        <w:t>R</w:t>
      </w:r>
      <w:r w:rsidRPr="00205B62">
        <w:t xml:space="preserve">ights are </w:t>
      </w:r>
      <w:r>
        <w:t>W</w:t>
      </w:r>
      <w:r w:rsidRPr="00205B62">
        <w:t>omen</w:t>
      </w:r>
      <w:r>
        <w:t>’</w:t>
      </w:r>
      <w:r w:rsidRPr="00205B62">
        <w:t>s rights</w:t>
      </w:r>
      <w:r>
        <w:t>’</w:t>
      </w:r>
      <w:r w:rsidRPr="00205B62">
        <w:t xml:space="preserve"> (5 October 2021) </w:t>
      </w:r>
      <w:r>
        <w:t>&lt;</w:t>
      </w:r>
      <w:hyperlink r:id="rId36" w:history="1">
        <w:r w:rsidRPr="006C675E">
          <w:rPr>
            <w:rStyle w:val="Hyperlink"/>
          </w:rPr>
          <w:t>https://www.apc.org/en/pubs/digital-rights-are-womens-rights</w:t>
        </w:r>
      </w:hyperlink>
      <w:r>
        <w:t>&gt;</w:t>
      </w:r>
      <w:r w:rsidRPr="00205B62">
        <w:t xml:space="preserve"> accessed 18 February 2024.</w:t>
      </w:r>
    </w:p>
  </w:footnote>
  <w:footnote w:id="108">
    <w:p w14:paraId="4839710C"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w:t>
      </w:r>
    </w:p>
  </w:footnote>
  <w:footnote w:id="109">
    <w:p w14:paraId="5EB2B2E6" w14:textId="77777777" w:rsidR="00537326" w:rsidRPr="00205B62" w:rsidRDefault="00537326" w:rsidP="00537326">
      <w:pPr>
        <w:pStyle w:val="Footnote"/>
      </w:pPr>
      <w:r w:rsidRPr="00205B62">
        <w:rPr>
          <w:rStyle w:val="FootnoteReference"/>
          <w:vertAlign w:val="baseline"/>
        </w:rPr>
        <w:footnoteRef/>
      </w:r>
      <w:r w:rsidRPr="00205B62">
        <w:t xml:space="preserve"> </w:t>
      </w:r>
      <w:bookmarkStart w:id="40" w:name="_Hlk128436595"/>
      <w:r>
        <w:tab/>
        <w:t>Protocol</w:t>
      </w:r>
      <w:r w:rsidRPr="00205B62">
        <w:t xml:space="preserve"> (n 9</w:t>
      </w:r>
      <w:r>
        <w:t>8</w:t>
      </w:r>
      <w:r w:rsidRPr="00205B62">
        <w:t xml:space="preserve">) </w:t>
      </w:r>
      <w:r>
        <w:t>A</w:t>
      </w:r>
      <w:r w:rsidRPr="00205B62">
        <w:t xml:space="preserve">rt </w:t>
      </w:r>
      <w:bookmarkEnd w:id="40"/>
      <w:r w:rsidRPr="00205B62">
        <w:t>13(1)(a).</w:t>
      </w:r>
    </w:p>
  </w:footnote>
  <w:footnote w:id="110">
    <w:p w14:paraId="0885FDB8"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The World Bank</w:t>
      </w:r>
      <w:r>
        <w:t>,</w:t>
      </w:r>
      <w:r w:rsidRPr="00205B62">
        <w:t xml:space="preserve"> ‘Ghana: Gender Data Portal’ </w:t>
      </w:r>
      <w:r>
        <w:t>&lt;</w:t>
      </w:r>
      <w:hyperlink r:id="rId37" w:history="1">
        <w:r w:rsidRPr="006C675E">
          <w:rPr>
            <w:rStyle w:val="Hyperlink"/>
          </w:rPr>
          <w:t>https://genderdata.worldbank.org/countries/ghana/</w:t>
        </w:r>
      </w:hyperlink>
      <w:r>
        <w:t>&gt;</w:t>
      </w:r>
      <w:r w:rsidRPr="00205B62">
        <w:t xml:space="preserve"> </w:t>
      </w:r>
      <w:bookmarkStart w:id="41" w:name="_Hlk174910462"/>
      <w:r w:rsidRPr="00205B62">
        <w:t>accessed 16</w:t>
      </w:r>
      <w:r>
        <w:t xml:space="preserve"> </w:t>
      </w:r>
      <w:r w:rsidRPr="00205B62">
        <w:t>April 2024.</w:t>
      </w:r>
      <w:bookmarkEnd w:id="41"/>
    </w:p>
  </w:footnote>
  <w:footnote w:id="111">
    <w:p w14:paraId="17633F5B" w14:textId="77777777" w:rsidR="00537326" w:rsidRPr="00205B62" w:rsidRDefault="00537326" w:rsidP="00537326">
      <w:pPr>
        <w:pStyle w:val="Footnote"/>
      </w:pPr>
      <w:r w:rsidRPr="00205B62">
        <w:rPr>
          <w:rStyle w:val="FootnoteReference"/>
          <w:vertAlign w:val="baseline"/>
        </w:rPr>
        <w:footnoteRef/>
      </w:r>
      <w:r w:rsidRPr="00205B62">
        <w:t xml:space="preserve"> </w:t>
      </w:r>
      <w:r>
        <w:tab/>
        <w:t>Protocol</w:t>
      </w:r>
      <w:r w:rsidRPr="00205B62">
        <w:t xml:space="preserve"> (n 9</w:t>
      </w:r>
      <w:r>
        <w:t>8</w:t>
      </w:r>
      <w:r w:rsidRPr="00205B62">
        <w:t xml:space="preserve">) </w:t>
      </w:r>
      <w:r>
        <w:t>A</w:t>
      </w:r>
      <w:r w:rsidRPr="00205B62">
        <w:t>rt 13(1)(b).</w:t>
      </w:r>
    </w:p>
  </w:footnote>
  <w:footnote w:id="112">
    <w:p w14:paraId="558252C9"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Steven Tobin</w:t>
      </w:r>
      <w:r>
        <w:t>,</w:t>
      </w:r>
      <w:r w:rsidRPr="00205B62">
        <w:t xml:space="preserve"> ‘What </w:t>
      </w:r>
      <w:r>
        <w:t>C</w:t>
      </w:r>
      <w:r w:rsidRPr="00205B62">
        <w:t xml:space="preserve">auses </w:t>
      </w:r>
      <w:r>
        <w:t>G</w:t>
      </w:r>
      <w:r w:rsidRPr="00205B62">
        <w:t xml:space="preserve">ender </w:t>
      </w:r>
      <w:r>
        <w:t>G</w:t>
      </w:r>
      <w:r w:rsidRPr="00205B62">
        <w:t xml:space="preserve">aps in the Labour </w:t>
      </w:r>
      <w:r>
        <w:t>M</w:t>
      </w:r>
      <w:r w:rsidRPr="00205B62">
        <w:t xml:space="preserve">arket?’ (International labour Organisation’ 1 August 2017) </w:t>
      </w:r>
      <w:r>
        <w:t>&lt;</w:t>
      </w:r>
      <w:hyperlink r:id="rId38" w:history="1">
        <w:r w:rsidRPr="006C675E">
          <w:rPr>
            <w:rStyle w:val="Hyperlink"/>
          </w:rPr>
          <w:t>https://www.ilo.org/global/about-the-ilo/newsroom/news/WCMS_566891/lang--en/index.htm</w:t>
        </w:r>
      </w:hyperlink>
      <w:r>
        <w:t>&gt;</w:t>
      </w:r>
      <w:r w:rsidRPr="00205B62">
        <w:t xml:space="preserve"> </w:t>
      </w:r>
      <w:bookmarkStart w:id="42" w:name="_Hlk174910490"/>
      <w:r w:rsidRPr="00205B62">
        <w:t>accessed 18 February 2024.</w:t>
      </w:r>
    </w:p>
    <w:bookmarkEnd w:id="42"/>
  </w:footnote>
  <w:footnote w:id="113">
    <w:p w14:paraId="03AEC2DD" w14:textId="77777777" w:rsidR="00537326" w:rsidRPr="00205B62" w:rsidRDefault="00537326" w:rsidP="00537326">
      <w:pPr>
        <w:pStyle w:val="Footnote"/>
      </w:pPr>
      <w:r w:rsidRPr="00205B62">
        <w:rPr>
          <w:rStyle w:val="FootnoteReference"/>
          <w:vertAlign w:val="baseline"/>
        </w:rPr>
        <w:footnoteRef/>
      </w:r>
      <w:r w:rsidRPr="00205B62">
        <w:t xml:space="preserve"> </w:t>
      </w:r>
      <w:r>
        <w:tab/>
        <w:t xml:space="preserve">Protocol </w:t>
      </w:r>
      <w:r w:rsidRPr="00205B62">
        <w:t>(n 9</w:t>
      </w:r>
      <w:r>
        <w:t>8</w:t>
      </w:r>
      <w:r w:rsidRPr="00205B62">
        <w:t xml:space="preserve">) </w:t>
      </w:r>
      <w:r>
        <w:t>A</w:t>
      </w:r>
      <w:r w:rsidRPr="00205B62">
        <w:t>rt 13(1)(d).</w:t>
      </w:r>
    </w:p>
  </w:footnote>
  <w:footnote w:id="114">
    <w:p w14:paraId="62764398" w14:textId="77777777" w:rsidR="00537326" w:rsidRPr="00AA11C5" w:rsidRDefault="00537326" w:rsidP="00537326">
      <w:pPr>
        <w:pStyle w:val="Footnote"/>
      </w:pPr>
      <w:r w:rsidRPr="00AA11C5">
        <w:t>114</w:t>
      </w:r>
      <w:r>
        <w:tab/>
        <w:t>i</w:t>
      </w:r>
      <w:r w:rsidRPr="00AA11C5">
        <w:t xml:space="preserve">bid </w:t>
      </w:r>
      <w:r>
        <w:t>A</w:t>
      </w:r>
      <w:r w:rsidRPr="00AA11C5">
        <w:t>rt 13.</w:t>
      </w:r>
    </w:p>
  </w:footnote>
  <w:footnote w:id="115">
    <w:p w14:paraId="6E0BF79B"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 xml:space="preserve">bid </w:t>
      </w:r>
      <w:r>
        <w:t>A</w:t>
      </w:r>
      <w:r w:rsidRPr="00205B62">
        <w:t>rt 13.</w:t>
      </w:r>
    </w:p>
  </w:footnote>
  <w:footnote w:id="116">
    <w:p w14:paraId="5C26E9E5"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 xml:space="preserve">bid </w:t>
      </w:r>
      <w:r>
        <w:t>A</w:t>
      </w:r>
      <w:r w:rsidRPr="00205B62">
        <w:t>rt 13.</w:t>
      </w:r>
    </w:p>
  </w:footnote>
  <w:footnote w:id="117">
    <w:p w14:paraId="5BE7E84E"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The Constitution of Ghana </w:t>
      </w:r>
      <w:r>
        <w:t>(n 2)</w:t>
      </w:r>
      <w:r w:rsidRPr="00205B62">
        <w:t xml:space="preserve"> art 27.</w:t>
      </w:r>
    </w:p>
  </w:footnote>
  <w:footnote w:id="118">
    <w:p w14:paraId="6AC7EAAD"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Carmen Reinhart, </w:t>
      </w:r>
      <w:r>
        <w:t>‘</w:t>
      </w:r>
      <w:r w:rsidRPr="00205B62">
        <w:t>Related: Statement on International Women’s Day</w:t>
      </w:r>
      <w:r>
        <w:t>’</w:t>
      </w:r>
      <w:r w:rsidRPr="00205B62">
        <w:t xml:space="preserve"> </w:t>
      </w:r>
      <w:r>
        <w:t>(</w:t>
      </w:r>
      <w:r w:rsidRPr="00205B62">
        <w:t xml:space="preserve">Washington, 1 March 2022) </w:t>
      </w:r>
      <w:r>
        <w:t>&lt;</w:t>
      </w:r>
      <w:hyperlink r:id="rId39" w:history="1">
        <w:r w:rsidRPr="00B13AC3">
          <w:rPr>
            <w:rStyle w:val="Hyperlink"/>
          </w:rPr>
          <w:t>https://www.worldbank.org/en/news/press-release/2022/03/01/nearly-2-4-billion-women-globally-don-t-have-same-economic-rights-as-men</w:t>
        </w:r>
      </w:hyperlink>
      <w:r>
        <w:t>&gt;</w:t>
      </w:r>
      <w:r w:rsidRPr="00205B62">
        <w:t xml:space="preserve"> accessed 19 February 2024.</w:t>
      </w:r>
    </w:p>
  </w:footnote>
  <w:footnote w:id="119">
    <w:p w14:paraId="1282CFBC" w14:textId="77777777" w:rsidR="00537326" w:rsidRPr="00205B62" w:rsidRDefault="00537326" w:rsidP="00537326">
      <w:pPr>
        <w:pStyle w:val="Footnote"/>
      </w:pPr>
      <w:r w:rsidRPr="00205B62">
        <w:rPr>
          <w:rStyle w:val="FootnoteReference"/>
          <w:vertAlign w:val="baseline"/>
        </w:rPr>
        <w:footnoteRef/>
      </w:r>
      <w:r w:rsidRPr="00205B62">
        <w:t xml:space="preserve"> </w:t>
      </w:r>
      <w:r>
        <w:tab/>
        <w:t>Sabelo</w:t>
      </w:r>
      <w:r w:rsidRPr="00205B62">
        <w:t xml:space="preserve"> </w:t>
      </w:r>
      <w:proofErr w:type="spellStart"/>
      <w:r w:rsidRPr="00205B62">
        <w:t>Gumedze</w:t>
      </w:r>
      <w:proofErr w:type="spellEnd"/>
      <w:r>
        <w:t>,</w:t>
      </w:r>
      <w:r w:rsidRPr="00205B62">
        <w:t xml:space="preserve"> ‘Bringing </w:t>
      </w:r>
      <w:r>
        <w:t>C</w:t>
      </w:r>
      <w:r w:rsidRPr="00205B62">
        <w:t>ommunications before the African Commission on Human and Peoples’ Rights’ (2003) AHRLJ 145.</w:t>
      </w:r>
    </w:p>
  </w:footnote>
  <w:footnote w:id="120">
    <w:p w14:paraId="3F680D87"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EE4E52">
        <w:t>Olu</w:t>
      </w:r>
      <w:r>
        <w:t>bukola</w:t>
      </w:r>
      <w:r w:rsidRPr="00205B62">
        <w:t xml:space="preserve"> Adesina</w:t>
      </w:r>
      <w:r>
        <w:t>,</w:t>
      </w:r>
      <w:r w:rsidRPr="00205B62">
        <w:t xml:space="preserve"> ‘Article 9 of The Maputo Protocol and The Advancement of Political Rights for Women in Nigeria’ (2024) AJPSSI 152</w:t>
      </w:r>
      <w:r>
        <w:t>.</w:t>
      </w:r>
    </w:p>
  </w:footnote>
  <w:footnote w:id="121">
    <w:p w14:paraId="15DBD0A8" w14:textId="77777777" w:rsidR="00537326" w:rsidRPr="00B547C1" w:rsidRDefault="00537326" w:rsidP="00537326">
      <w:pPr>
        <w:pStyle w:val="Footnote"/>
        <w:rPr>
          <w:lang w:val="en-ZA"/>
        </w:rPr>
      </w:pPr>
      <w:r w:rsidRPr="00205B62">
        <w:rPr>
          <w:rStyle w:val="FootnoteReference"/>
          <w:vertAlign w:val="baseline"/>
        </w:rPr>
        <w:footnoteRef/>
      </w:r>
      <w:r w:rsidRPr="00B547C1">
        <w:rPr>
          <w:lang w:val="en-ZA"/>
        </w:rPr>
        <w:t xml:space="preserve"> </w:t>
      </w:r>
      <w:bookmarkStart w:id="43" w:name="_Hlk165035379"/>
      <w:r w:rsidRPr="00B547C1">
        <w:rPr>
          <w:lang w:val="en-ZA"/>
        </w:rPr>
        <w:tab/>
        <w:t>ibid 152</w:t>
      </w:r>
      <w:bookmarkEnd w:id="43"/>
      <w:r w:rsidRPr="00B547C1">
        <w:rPr>
          <w:lang w:val="en-ZA"/>
        </w:rPr>
        <w:t>–153.</w:t>
      </w:r>
    </w:p>
  </w:footnote>
  <w:footnote w:id="122">
    <w:p w14:paraId="2CE083FD" w14:textId="77777777" w:rsidR="00537326" w:rsidRPr="00B547C1" w:rsidRDefault="00537326" w:rsidP="00537326">
      <w:pPr>
        <w:pStyle w:val="Footnote"/>
        <w:rPr>
          <w:lang w:val="en-ZA"/>
        </w:rPr>
      </w:pPr>
      <w:r w:rsidRPr="00205B62">
        <w:rPr>
          <w:rStyle w:val="FootnoteReference"/>
          <w:vertAlign w:val="baseline"/>
        </w:rPr>
        <w:footnoteRef/>
      </w:r>
      <w:r w:rsidRPr="00B547C1">
        <w:rPr>
          <w:lang w:val="en-ZA"/>
        </w:rPr>
        <w:t xml:space="preserve"> </w:t>
      </w:r>
      <w:r w:rsidRPr="00B547C1">
        <w:rPr>
          <w:lang w:val="en-ZA"/>
        </w:rPr>
        <w:tab/>
        <w:t>ibid 152–153.</w:t>
      </w:r>
    </w:p>
  </w:footnote>
  <w:footnote w:id="123">
    <w:p w14:paraId="3C345B46" w14:textId="77777777" w:rsidR="00537326" w:rsidRPr="00B547C1" w:rsidRDefault="00537326" w:rsidP="00537326">
      <w:pPr>
        <w:pStyle w:val="Footnote"/>
        <w:rPr>
          <w:lang w:val="en-ZA"/>
        </w:rPr>
      </w:pPr>
      <w:r w:rsidRPr="00205B62">
        <w:rPr>
          <w:rStyle w:val="FootnoteReference"/>
          <w:vertAlign w:val="baseline"/>
        </w:rPr>
        <w:footnoteRef/>
      </w:r>
      <w:r w:rsidRPr="00B547C1">
        <w:rPr>
          <w:lang w:val="en-ZA"/>
        </w:rPr>
        <w:t xml:space="preserve">  </w:t>
      </w:r>
      <w:r w:rsidRPr="00B547C1">
        <w:rPr>
          <w:lang w:val="en-ZA"/>
        </w:rPr>
        <w:tab/>
        <w:t xml:space="preserve">ibid 155. </w:t>
      </w:r>
    </w:p>
  </w:footnote>
  <w:footnote w:id="124">
    <w:p w14:paraId="3F9E6884"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Gesine Fuchs</w:t>
      </w:r>
      <w:r>
        <w:t>,</w:t>
      </w:r>
      <w:r w:rsidRPr="00205B62">
        <w:t xml:space="preserve"> ‘Using </w:t>
      </w:r>
      <w:r>
        <w:t>S</w:t>
      </w:r>
      <w:r w:rsidRPr="00205B62">
        <w:t xml:space="preserve">trategic </w:t>
      </w:r>
      <w:r>
        <w:t>L</w:t>
      </w:r>
      <w:r w:rsidRPr="00205B62">
        <w:t xml:space="preserve">itigation for </w:t>
      </w:r>
      <w:r>
        <w:t>W</w:t>
      </w:r>
      <w:r w:rsidRPr="00205B62">
        <w:t xml:space="preserve">omen’s </w:t>
      </w:r>
      <w:r>
        <w:t>R</w:t>
      </w:r>
      <w:r w:rsidRPr="00205B62">
        <w:t xml:space="preserve">ights: Political </w:t>
      </w:r>
      <w:r>
        <w:t>R</w:t>
      </w:r>
      <w:r w:rsidRPr="00205B62">
        <w:t xml:space="preserve">estrictions in Poland and </w:t>
      </w:r>
      <w:r>
        <w:t>A</w:t>
      </w:r>
      <w:r w:rsidRPr="00205B62">
        <w:t xml:space="preserve">chievements of the </w:t>
      </w:r>
      <w:r>
        <w:t>W</w:t>
      </w:r>
      <w:r w:rsidRPr="00205B62">
        <w:t xml:space="preserve">omen’s </w:t>
      </w:r>
      <w:r>
        <w:t>M</w:t>
      </w:r>
      <w:r w:rsidRPr="00205B62">
        <w:t>ovement’ (2021) EJWS 22.</w:t>
      </w:r>
    </w:p>
  </w:footnote>
  <w:footnote w:id="125">
    <w:p w14:paraId="3B1C72DC"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Fuchs </w:t>
      </w:r>
      <w:bookmarkStart w:id="44" w:name="_Hlk128436983"/>
      <w:r w:rsidRPr="00205B62">
        <w:t xml:space="preserve">(n 124) </w:t>
      </w:r>
      <w:bookmarkEnd w:id="44"/>
      <w:r w:rsidRPr="00205B62">
        <w:t>22.</w:t>
      </w:r>
    </w:p>
  </w:footnote>
  <w:footnote w:id="126">
    <w:p w14:paraId="4D6F32C5" w14:textId="77777777" w:rsidR="00537326" w:rsidRPr="00205B62" w:rsidRDefault="00537326" w:rsidP="00537326">
      <w:pPr>
        <w:pStyle w:val="Footnote"/>
      </w:pPr>
      <w:r w:rsidRPr="00205B62">
        <w:rPr>
          <w:rStyle w:val="FootnoteReference"/>
          <w:vertAlign w:val="baseline"/>
        </w:rPr>
        <w:footnoteRef/>
      </w:r>
      <w:r w:rsidRPr="00205B62">
        <w:t xml:space="preserve"> </w:t>
      </w:r>
      <w:r>
        <w:tab/>
        <w:t>ibid</w:t>
      </w:r>
      <w:r w:rsidRPr="00205B62">
        <w:t>.</w:t>
      </w:r>
    </w:p>
    <w:bookmarkStart w:id="45" w:name="_heading=h.1pxezwc" w:colFirst="0" w:colLast="0"/>
    <w:bookmarkEnd w:id="45"/>
  </w:footnote>
  <w:footnote w:id="127">
    <w:p w14:paraId="3DFB8908" w14:textId="77777777" w:rsidR="00537326" w:rsidRPr="00205B62" w:rsidRDefault="00537326" w:rsidP="00537326">
      <w:pPr>
        <w:pStyle w:val="Footnote"/>
      </w:pPr>
      <w:bookmarkStart w:id="46" w:name="_heading=h.1pxezwc" w:colFirst="0" w:colLast="0"/>
      <w:bookmarkEnd w:id="46"/>
      <w:r w:rsidRPr="00205B62">
        <w:rPr>
          <w:rStyle w:val="FootnoteReference"/>
          <w:vertAlign w:val="baseline"/>
        </w:rPr>
        <w:footnoteRef/>
      </w:r>
      <w:r w:rsidRPr="00205B62">
        <w:t xml:space="preserve"> </w:t>
      </w:r>
      <w:r>
        <w:tab/>
      </w:r>
      <w:r w:rsidRPr="00205B62">
        <w:t xml:space="preserve">United Nations Human Rights, </w:t>
      </w:r>
      <w:r>
        <w:t>‘</w:t>
      </w:r>
      <w:r w:rsidRPr="00205B62">
        <w:t xml:space="preserve">Strategic </w:t>
      </w:r>
      <w:r>
        <w:t>L</w:t>
      </w:r>
      <w:r w:rsidRPr="00205B62">
        <w:t xml:space="preserve">itigation for </w:t>
      </w:r>
      <w:r>
        <w:t>S</w:t>
      </w:r>
      <w:r w:rsidRPr="00205B62">
        <w:t xml:space="preserve">exual and </w:t>
      </w:r>
      <w:r>
        <w:t>G</w:t>
      </w:r>
      <w:r w:rsidRPr="00205B62">
        <w:t xml:space="preserve">ender-based </w:t>
      </w:r>
      <w:r>
        <w:t>V</w:t>
      </w:r>
      <w:r w:rsidRPr="00205B62">
        <w:t xml:space="preserve">iolence: Lessons </w:t>
      </w:r>
      <w:r>
        <w:t>L</w:t>
      </w:r>
      <w:r w:rsidRPr="00205B62">
        <w:t>earned</w:t>
      </w:r>
      <w:r>
        <w:t>’</w:t>
      </w:r>
      <w:r w:rsidRPr="00205B62">
        <w:t xml:space="preserve"> </w:t>
      </w:r>
      <w:r>
        <w:t>&lt;</w:t>
      </w:r>
      <w:hyperlink r:id="rId40" w:history="1">
        <w:r w:rsidRPr="006C675E">
          <w:rPr>
            <w:rStyle w:val="Hyperlink"/>
          </w:rPr>
          <w:t>https://www.ohchr.org/sites/default/files/Documents/Issues/Women/WRGS/OHCHR-StrategicLitigationforSV-workshopreport-web.pdf</w:t>
        </w:r>
      </w:hyperlink>
      <w:r>
        <w:t>&gt;</w:t>
      </w:r>
      <w:r w:rsidRPr="00205B62">
        <w:t xml:space="preserve"> accessed 16</w:t>
      </w:r>
      <w:r>
        <w:t xml:space="preserve"> </w:t>
      </w:r>
      <w:r w:rsidRPr="00205B62">
        <w:t xml:space="preserve">February 2024. </w:t>
      </w:r>
    </w:p>
  </w:footnote>
  <w:footnote w:id="128">
    <w:p w14:paraId="75C4CD19"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w:t>
      </w:r>
    </w:p>
  </w:footnote>
  <w:footnote w:id="129">
    <w:p w14:paraId="19FD2614" w14:textId="77777777" w:rsidR="00537326" w:rsidRPr="00205B62" w:rsidRDefault="00537326" w:rsidP="00537326">
      <w:pPr>
        <w:pStyle w:val="Footnote"/>
      </w:pPr>
      <w:r w:rsidRPr="00205B62">
        <w:rPr>
          <w:rStyle w:val="FootnoteReference"/>
          <w:vertAlign w:val="baseline"/>
        </w:rPr>
        <w:footnoteRef/>
      </w:r>
      <w:r w:rsidRPr="00205B62">
        <w:t xml:space="preserve"> </w:t>
      </w:r>
      <w:r w:rsidRPr="00171569">
        <w:rPr>
          <w:i/>
          <w:iCs/>
        </w:rPr>
        <w:tab/>
        <w:t xml:space="preserve">Egyptian Initiative for Personal Rights and </w:t>
      </w:r>
      <w:proofErr w:type="spellStart"/>
      <w:r w:rsidRPr="00171569">
        <w:rPr>
          <w:i/>
          <w:iCs/>
        </w:rPr>
        <w:t>Interights</w:t>
      </w:r>
      <w:proofErr w:type="spellEnd"/>
      <w:r w:rsidRPr="00171569">
        <w:rPr>
          <w:i/>
          <w:iCs/>
        </w:rPr>
        <w:t xml:space="preserve"> </w:t>
      </w:r>
      <w:r>
        <w:rPr>
          <w:i/>
          <w:iCs/>
        </w:rPr>
        <w:t>v</w:t>
      </w:r>
      <w:r w:rsidRPr="00171569">
        <w:rPr>
          <w:i/>
          <w:iCs/>
        </w:rPr>
        <w:t xml:space="preserve"> Arab Republic of Egypt</w:t>
      </w:r>
      <w:r w:rsidRPr="00205B62">
        <w:t xml:space="preserve"> </w:t>
      </w:r>
      <w:r>
        <w:t xml:space="preserve">[2011] </w:t>
      </w:r>
      <w:r w:rsidRPr="00205B62">
        <w:t>(Communication No. 323/2006) ACHPR 85; (16 December 2011).</w:t>
      </w:r>
    </w:p>
  </w:footnote>
  <w:footnote w:id="130">
    <w:p w14:paraId="1FAA999F" w14:textId="77777777" w:rsidR="00537326" w:rsidRPr="00FD1334" w:rsidRDefault="00537326" w:rsidP="00537326">
      <w:pPr>
        <w:pStyle w:val="Footnote"/>
        <w:rPr>
          <w:lang w:val="es-ES"/>
        </w:rPr>
      </w:pPr>
      <w:r w:rsidRPr="00205B62">
        <w:rPr>
          <w:rStyle w:val="FootnoteReference"/>
          <w:vertAlign w:val="baseline"/>
        </w:rPr>
        <w:footnoteRef/>
      </w:r>
      <w:r w:rsidRPr="00FD1334">
        <w:rPr>
          <w:lang w:val="es-ES"/>
        </w:rPr>
        <w:t xml:space="preserve"> </w:t>
      </w:r>
      <w:r w:rsidRPr="00FD1334">
        <w:rPr>
          <w:lang w:val="es-ES"/>
        </w:rPr>
        <w:tab/>
      </w:r>
      <w:proofErr w:type="spellStart"/>
      <w:r w:rsidRPr="00FD1334">
        <w:rPr>
          <w:lang w:val="es-ES"/>
        </w:rPr>
        <w:t>ibid</w:t>
      </w:r>
      <w:proofErr w:type="spellEnd"/>
      <w:r w:rsidRPr="00FD1334">
        <w:rPr>
          <w:lang w:val="es-ES"/>
        </w:rPr>
        <w:t xml:space="preserve"> para 25.</w:t>
      </w:r>
    </w:p>
  </w:footnote>
  <w:footnote w:id="131">
    <w:p w14:paraId="6ED41FC2" w14:textId="77777777" w:rsidR="00537326" w:rsidRPr="00FD1334" w:rsidRDefault="00537326" w:rsidP="00537326">
      <w:pPr>
        <w:pStyle w:val="Footnote"/>
        <w:rPr>
          <w:lang w:val="es-ES"/>
        </w:rPr>
      </w:pPr>
      <w:r w:rsidRPr="00205B62">
        <w:rPr>
          <w:rStyle w:val="FootnoteReference"/>
          <w:vertAlign w:val="baseline"/>
        </w:rPr>
        <w:footnoteRef/>
      </w:r>
      <w:r w:rsidRPr="00FD1334">
        <w:rPr>
          <w:lang w:val="es-ES"/>
        </w:rPr>
        <w:t xml:space="preserve"> </w:t>
      </w:r>
      <w:bookmarkStart w:id="49" w:name="_Hlk128439544"/>
      <w:r w:rsidRPr="00FD1334">
        <w:rPr>
          <w:lang w:val="es-ES"/>
        </w:rPr>
        <w:tab/>
      </w:r>
      <w:proofErr w:type="spellStart"/>
      <w:r w:rsidRPr="00FD1334">
        <w:rPr>
          <w:lang w:val="es-ES"/>
        </w:rPr>
        <w:t>ibid</w:t>
      </w:r>
      <w:proofErr w:type="spellEnd"/>
      <w:r w:rsidRPr="00FD1334">
        <w:rPr>
          <w:lang w:val="es-ES"/>
        </w:rPr>
        <w:t xml:space="preserve"> para </w:t>
      </w:r>
      <w:bookmarkEnd w:id="49"/>
      <w:r w:rsidRPr="00FD1334">
        <w:rPr>
          <w:lang w:val="es-ES"/>
        </w:rPr>
        <w:t>119.</w:t>
      </w:r>
    </w:p>
    <w:bookmarkStart w:id="50" w:name="_heading=h.3o7alnk" w:colFirst="0" w:colLast="0"/>
    <w:bookmarkEnd w:id="50"/>
  </w:footnote>
  <w:footnote w:id="132">
    <w:p w14:paraId="5AD33BC1" w14:textId="77777777" w:rsidR="00537326" w:rsidRPr="00FD1334" w:rsidRDefault="00537326" w:rsidP="00537326">
      <w:pPr>
        <w:pStyle w:val="Footnote"/>
        <w:rPr>
          <w:lang w:val="es-ES"/>
        </w:rPr>
      </w:pPr>
      <w:bookmarkStart w:id="51" w:name="_heading=h.3o7alnk" w:colFirst="0" w:colLast="0"/>
      <w:bookmarkEnd w:id="51"/>
      <w:r w:rsidRPr="00FD1334">
        <w:rPr>
          <w:lang w:val="es-ES"/>
        </w:rPr>
        <w:t>132</w:t>
      </w:r>
      <w:r w:rsidRPr="00FD1334">
        <w:rPr>
          <w:lang w:val="es-ES"/>
        </w:rPr>
        <w:tab/>
      </w:r>
      <w:proofErr w:type="spellStart"/>
      <w:r w:rsidRPr="00FD1334">
        <w:rPr>
          <w:lang w:val="es-ES"/>
        </w:rPr>
        <w:t>ibid</w:t>
      </w:r>
      <w:proofErr w:type="spellEnd"/>
      <w:r w:rsidRPr="00FD1334">
        <w:rPr>
          <w:lang w:val="es-ES"/>
        </w:rPr>
        <w:t xml:space="preserve"> para 129.</w:t>
      </w:r>
    </w:p>
  </w:footnote>
  <w:footnote w:id="133">
    <w:p w14:paraId="74A832B4" w14:textId="77777777" w:rsidR="00537326" w:rsidRPr="00FD1334" w:rsidRDefault="00537326" w:rsidP="00537326">
      <w:pPr>
        <w:pStyle w:val="Footnote"/>
        <w:rPr>
          <w:lang w:val="es-ES"/>
        </w:rPr>
      </w:pPr>
      <w:r w:rsidRPr="006F2343">
        <w:rPr>
          <w:rStyle w:val="FootnoteReference"/>
          <w:vertAlign w:val="baseline"/>
        </w:rPr>
        <w:footnoteRef/>
      </w:r>
      <w:r w:rsidRPr="00FD1334">
        <w:rPr>
          <w:lang w:val="es-ES"/>
        </w:rPr>
        <w:t xml:space="preserve"> </w:t>
      </w:r>
      <w:r w:rsidRPr="00FD1334">
        <w:rPr>
          <w:lang w:val="es-ES"/>
        </w:rPr>
        <w:tab/>
      </w:r>
      <w:proofErr w:type="spellStart"/>
      <w:r w:rsidRPr="00FD1334">
        <w:rPr>
          <w:lang w:val="es-ES"/>
        </w:rPr>
        <w:t>ibid</w:t>
      </w:r>
      <w:proofErr w:type="spellEnd"/>
      <w:r w:rsidRPr="00FD1334">
        <w:rPr>
          <w:lang w:val="es-ES"/>
        </w:rPr>
        <w:t xml:space="preserve"> para 143.</w:t>
      </w:r>
    </w:p>
  </w:footnote>
  <w:footnote w:id="134">
    <w:p w14:paraId="73AE0A30" w14:textId="77777777" w:rsidR="00537326" w:rsidRPr="00FD1334" w:rsidRDefault="00537326" w:rsidP="00537326">
      <w:pPr>
        <w:pStyle w:val="Footnote"/>
        <w:rPr>
          <w:lang w:val="es-ES"/>
        </w:rPr>
      </w:pPr>
      <w:r w:rsidRPr="006F2343">
        <w:rPr>
          <w:rStyle w:val="FootnoteReference"/>
          <w:vertAlign w:val="baseline"/>
        </w:rPr>
        <w:footnoteRef/>
      </w:r>
      <w:r w:rsidRPr="00FD1334">
        <w:rPr>
          <w:lang w:val="es-ES"/>
        </w:rPr>
        <w:t xml:space="preserve"> </w:t>
      </w:r>
      <w:r w:rsidRPr="00FD1334">
        <w:rPr>
          <w:lang w:val="es-ES"/>
        </w:rPr>
        <w:tab/>
      </w:r>
      <w:proofErr w:type="spellStart"/>
      <w:r w:rsidRPr="00FD1334">
        <w:rPr>
          <w:lang w:val="es-ES"/>
        </w:rPr>
        <w:t>ibid</w:t>
      </w:r>
      <w:proofErr w:type="spellEnd"/>
      <w:r w:rsidRPr="00FD1334">
        <w:rPr>
          <w:lang w:val="es-ES"/>
        </w:rPr>
        <w:t xml:space="preserve"> para 144. </w:t>
      </w:r>
    </w:p>
    <w:bookmarkStart w:id="52" w:name="_heading=h.23ckvvd" w:colFirst="0" w:colLast="0"/>
    <w:bookmarkEnd w:id="52"/>
  </w:footnote>
  <w:footnote w:id="135">
    <w:p w14:paraId="76C9DBBB" w14:textId="77777777" w:rsidR="00537326" w:rsidRPr="00FD1334" w:rsidRDefault="00537326" w:rsidP="00537326">
      <w:pPr>
        <w:pStyle w:val="Footnote"/>
        <w:rPr>
          <w:lang w:val="es-ES"/>
        </w:rPr>
      </w:pPr>
      <w:bookmarkStart w:id="53" w:name="_heading=h.23ckvvd" w:colFirst="0" w:colLast="0"/>
      <w:bookmarkEnd w:id="53"/>
      <w:r w:rsidRPr="006F2343">
        <w:rPr>
          <w:rStyle w:val="FootnoteReference"/>
          <w:vertAlign w:val="baseline"/>
        </w:rPr>
        <w:footnoteRef/>
      </w:r>
      <w:r w:rsidRPr="00FD1334">
        <w:rPr>
          <w:lang w:val="es-ES"/>
        </w:rPr>
        <w:t xml:space="preserve"> </w:t>
      </w:r>
      <w:r w:rsidRPr="00FD1334">
        <w:rPr>
          <w:lang w:val="es-ES"/>
        </w:rPr>
        <w:tab/>
      </w:r>
      <w:proofErr w:type="spellStart"/>
      <w:r w:rsidRPr="00FD1334">
        <w:rPr>
          <w:lang w:val="es-ES"/>
        </w:rPr>
        <w:t>ibid</w:t>
      </w:r>
      <w:proofErr w:type="spellEnd"/>
      <w:r w:rsidRPr="00FD1334">
        <w:rPr>
          <w:lang w:val="es-ES"/>
        </w:rPr>
        <w:t xml:space="preserve"> para 152.</w:t>
      </w:r>
    </w:p>
  </w:footnote>
  <w:footnote w:id="136">
    <w:p w14:paraId="38FF7E5C" w14:textId="77777777" w:rsidR="00537326" w:rsidRPr="00FD1334" w:rsidRDefault="00537326" w:rsidP="00537326">
      <w:pPr>
        <w:pStyle w:val="Footnote"/>
        <w:rPr>
          <w:lang w:val="es-ES"/>
        </w:rPr>
      </w:pPr>
      <w:r w:rsidRPr="006F2343">
        <w:rPr>
          <w:rStyle w:val="FootnoteReference"/>
          <w:vertAlign w:val="baseline"/>
        </w:rPr>
        <w:footnoteRef/>
      </w:r>
      <w:r w:rsidRPr="00FD1334">
        <w:rPr>
          <w:lang w:val="es-ES"/>
        </w:rPr>
        <w:t xml:space="preserve"> </w:t>
      </w:r>
      <w:r w:rsidRPr="00FD1334">
        <w:rPr>
          <w:lang w:val="es-ES"/>
        </w:rPr>
        <w:tab/>
      </w:r>
      <w:proofErr w:type="spellStart"/>
      <w:r w:rsidRPr="00FD1334">
        <w:rPr>
          <w:lang w:val="es-ES"/>
        </w:rPr>
        <w:t>ibid</w:t>
      </w:r>
      <w:proofErr w:type="spellEnd"/>
      <w:r w:rsidRPr="00FD1334">
        <w:rPr>
          <w:lang w:val="es-ES"/>
        </w:rPr>
        <w:t xml:space="preserve"> para 154.</w:t>
      </w:r>
    </w:p>
    <w:bookmarkStart w:id="54" w:name="_heading=h.32hioqz" w:colFirst="0" w:colLast="0"/>
    <w:bookmarkEnd w:id="54"/>
  </w:footnote>
  <w:footnote w:id="137">
    <w:p w14:paraId="3C9F58C7" w14:textId="77777777" w:rsidR="00537326" w:rsidRPr="00FD1334" w:rsidRDefault="00537326" w:rsidP="00537326">
      <w:pPr>
        <w:pStyle w:val="Footnote"/>
        <w:rPr>
          <w:lang w:val="es-ES"/>
        </w:rPr>
      </w:pPr>
      <w:bookmarkStart w:id="55" w:name="_heading=h.32hioqz" w:colFirst="0" w:colLast="0"/>
      <w:bookmarkEnd w:id="55"/>
      <w:r w:rsidRPr="006F2343">
        <w:rPr>
          <w:rStyle w:val="FootnoteReference"/>
          <w:vertAlign w:val="baseline"/>
        </w:rPr>
        <w:footnoteRef/>
      </w:r>
      <w:r w:rsidRPr="00FD1334">
        <w:rPr>
          <w:lang w:val="es-ES"/>
        </w:rPr>
        <w:t xml:space="preserve"> </w:t>
      </w:r>
      <w:r w:rsidRPr="00FD1334">
        <w:rPr>
          <w:lang w:val="es-ES"/>
        </w:rPr>
        <w:tab/>
      </w:r>
      <w:proofErr w:type="spellStart"/>
      <w:r w:rsidRPr="00FD1334">
        <w:rPr>
          <w:lang w:val="es-ES"/>
        </w:rPr>
        <w:t>ibid</w:t>
      </w:r>
      <w:proofErr w:type="spellEnd"/>
      <w:r w:rsidRPr="00FD1334">
        <w:rPr>
          <w:lang w:val="es-ES"/>
        </w:rPr>
        <w:t xml:space="preserve"> para 155.</w:t>
      </w:r>
    </w:p>
  </w:footnote>
  <w:footnote w:id="138">
    <w:p w14:paraId="481D9D77" w14:textId="77777777" w:rsidR="00537326" w:rsidRPr="00B547C1" w:rsidRDefault="00537326" w:rsidP="00537326">
      <w:pPr>
        <w:pStyle w:val="Footnote"/>
        <w:rPr>
          <w:lang w:val="es-ES"/>
        </w:rPr>
      </w:pPr>
      <w:r w:rsidRPr="006F2343">
        <w:rPr>
          <w:rStyle w:val="FootnoteReference"/>
          <w:vertAlign w:val="baseline"/>
        </w:rPr>
        <w:footnoteRef/>
      </w:r>
      <w:r w:rsidRPr="00B547C1">
        <w:rPr>
          <w:lang w:val="es-ES"/>
        </w:rPr>
        <w:t xml:space="preserve"> </w:t>
      </w:r>
      <w:r w:rsidRPr="00B547C1">
        <w:rPr>
          <w:lang w:val="es-ES"/>
        </w:rPr>
        <w:tab/>
      </w:r>
      <w:proofErr w:type="spellStart"/>
      <w:r w:rsidRPr="00B547C1">
        <w:rPr>
          <w:lang w:val="es-ES"/>
        </w:rPr>
        <w:t>ibid</w:t>
      </w:r>
      <w:proofErr w:type="spellEnd"/>
      <w:r w:rsidRPr="00B547C1">
        <w:rPr>
          <w:lang w:val="es-ES"/>
        </w:rPr>
        <w:t xml:space="preserve"> para 156.</w:t>
      </w:r>
    </w:p>
  </w:footnote>
  <w:footnote w:id="139">
    <w:p w14:paraId="332EA989"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 xml:space="preserve">Helen Duffy, </w:t>
      </w:r>
      <w:r w:rsidRPr="00171569">
        <w:rPr>
          <w:i/>
          <w:iCs/>
        </w:rPr>
        <w:t>Strategic Human Rights Litigation – Understanding and Maximizing Impact</w:t>
      </w:r>
      <w:r w:rsidRPr="006F2343">
        <w:t xml:space="preserve"> (Hart Publishing 2018) 38.</w:t>
      </w:r>
    </w:p>
  </w:footnote>
  <w:footnote w:id="140">
    <w:p w14:paraId="202AB54D"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171569">
        <w:rPr>
          <w:i/>
          <w:iCs/>
        </w:rPr>
        <w:t>APDF &amp; IHRDA v Republic of Mali</w:t>
      </w:r>
      <w:r w:rsidRPr="006F2343">
        <w:t xml:space="preserve"> (046/2016) 2018 </w:t>
      </w:r>
      <w:r>
        <w:t xml:space="preserve">(15) </w:t>
      </w:r>
      <w:proofErr w:type="spellStart"/>
      <w:r w:rsidRPr="006F2343">
        <w:t>AfCHPR</w:t>
      </w:r>
      <w:proofErr w:type="spellEnd"/>
      <w:r w:rsidRPr="006F2343">
        <w:t xml:space="preserve"> 15 (11 May 2018). </w:t>
      </w:r>
    </w:p>
  </w:footnote>
  <w:footnote w:id="141">
    <w:p w14:paraId="217A1E38"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24226D">
        <w:t xml:space="preserve">Robert Doya </w:t>
      </w:r>
      <w:r w:rsidRPr="006F2343">
        <w:t>Nanima</w:t>
      </w:r>
      <w:r>
        <w:t>,</w:t>
      </w:r>
      <w:r w:rsidRPr="006F2343">
        <w:t xml:space="preserve"> ‘The ACHPR and ACERWC on Ending Child Marriage: Revisiting the Prohibition as a Legislative Measure’ (2019) ESR Review 11. </w:t>
      </w:r>
    </w:p>
  </w:footnote>
  <w:footnote w:id="142">
    <w:p w14:paraId="64E61C9D"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171569">
        <w:rPr>
          <w:i/>
          <w:iCs/>
        </w:rPr>
        <w:t xml:space="preserve">Dorothy </w:t>
      </w:r>
      <w:proofErr w:type="spellStart"/>
      <w:r w:rsidRPr="00171569">
        <w:rPr>
          <w:i/>
          <w:iCs/>
        </w:rPr>
        <w:t>Njemanze</w:t>
      </w:r>
      <w:proofErr w:type="spellEnd"/>
      <w:r w:rsidRPr="00171569">
        <w:rPr>
          <w:i/>
          <w:iCs/>
        </w:rPr>
        <w:t xml:space="preserve"> and </w:t>
      </w:r>
      <w:r>
        <w:rPr>
          <w:i/>
          <w:iCs/>
        </w:rPr>
        <w:t>T</w:t>
      </w:r>
      <w:r w:rsidRPr="00171569">
        <w:rPr>
          <w:i/>
          <w:iCs/>
        </w:rPr>
        <w:t xml:space="preserve">hree </w:t>
      </w:r>
      <w:r>
        <w:rPr>
          <w:i/>
          <w:iCs/>
        </w:rPr>
        <w:t>O</w:t>
      </w:r>
      <w:r w:rsidRPr="00171569">
        <w:rPr>
          <w:i/>
          <w:iCs/>
        </w:rPr>
        <w:t>thers v The Federal Republic of Nigeria</w:t>
      </w:r>
      <w:r w:rsidRPr="00A47D74">
        <w:t xml:space="preserve"> </w:t>
      </w:r>
      <w:r>
        <w:t>2017,</w:t>
      </w:r>
      <w:r w:rsidRPr="006F2343">
        <w:t xml:space="preserve"> Court of Justice of the ECOWAS, ECW/CCJ/JUD/08/17; </w:t>
      </w:r>
      <w:r w:rsidRPr="00171569">
        <w:rPr>
          <w:i/>
          <w:iCs/>
        </w:rPr>
        <w:t>Mary Sunday v Federal Republic of Nigeria</w:t>
      </w:r>
      <w:r>
        <w:t xml:space="preserve"> 2018</w:t>
      </w:r>
      <w:r w:rsidRPr="006F2343">
        <w:t xml:space="preserve"> ECW/CCJ/APP/26/15.</w:t>
      </w:r>
    </w:p>
  </w:footnote>
  <w:footnote w:id="143">
    <w:p w14:paraId="6AE49DCE" w14:textId="77777777" w:rsidR="00537326" w:rsidRPr="006F2343" w:rsidRDefault="00537326" w:rsidP="00537326">
      <w:pPr>
        <w:pStyle w:val="Footnote"/>
      </w:pPr>
      <w:r w:rsidRPr="006F2343">
        <w:rPr>
          <w:rStyle w:val="FootnoteReference"/>
          <w:vertAlign w:val="baseline"/>
        </w:rPr>
        <w:footnoteRef/>
      </w:r>
      <w:r w:rsidRPr="006F2343">
        <w:t xml:space="preserve"> </w:t>
      </w:r>
      <w:bookmarkStart w:id="56" w:name="_Hlk164687275"/>
      <w:r>
        <w:tab/>
      </w:r>
      <w:r w:rsidRPr="006F2343">
        <w:t>Anthonia Lola Dickson</w:t>
      </w:r>
      <w:r>
        <w:t>,</w:t>
      </w:r>
      <w:r w:rsidRPr="006F2343">
        <w:t xml:space="preserve"> ‘The Impact of The Maputo Protocol in Nigeria’ </w:t>
      </w:r>
      <w:r>
        <w:t>i</w:t>
      </w:r>
      <w:r w:rsidRPr="006F2343">
        <w:t xml:space="preserve">n </w:t>
      </w:r>
      <w:r w:rsidRPr="00FB08FA">
        <w:t>Susan</w:t>
      </w:r>
      <w:r w:rsidRPr="006F2343">
        <w:t xml:space="preserve"> </w:t>
      </w:r>
      <w:proofErr w:type="spellStart"/>
      <w:r w:rsidRPr="006F2343">
        <w:t>Mutambasere</w:t>
      </w:r>
      <w:proofErr w:type="spellEnd"/>
      <w:r w:rsidRPr="006F2343">
        <w:t xml:space="preserve">, </w:t>
      </w:r>
      <w:proofErr w:type="spellStart"/>
      <w:r w:rsidRPr="00181E7B">
        <w:t>Ashwanee</w:t>
      </w:r>
      <w:proofErr w:type="spellEnd"/>
      <w:r w:rsidRPr="00181E7B">
        <w:t xml:space="preserve"> </w:t>
      </w:r>
      <w:r w:rsidRPr="006F2343">
        <w:t xml:space="preserve">Budoo-Scholtz and </w:t>
      </w:r>
      <w:r w:rsidRPr="00181E7B">
        <w:t xml:space="preserve">Davina </w:t>
      </w:r>
      <w:r w:rsidRPr="006F2343">
        <w:t>Murden (eds)</w:t>
      </w:r>
      <w:r>
        <w:t>,</w:t>
      </w:r>
      <w:r w:rsidRPr="006F2343">
        <w:t xml:space="preserve"> </w:t>
      </w:r>
      <w:r w:rsidRPr="00BD4EC0">
        <w:rPr>
          <w:i/>
          <w:iCs/>
        </w:rPr>
        <w:t>The Impact of the Maputo Protocol in Selected African States</w:t>
      </w:r>
      <w:r w:rsidRPr="006F2343">
        <w:t xml:space="preserve"> (</w:t>
      </w:r>
      <w:r>
        <w:t xml:space="preserve">University of Pretoria Press </w:t>
      </w:r>
      <w:r w:rsidRPr="006F2343">
        <w:t>2023) 138</w:t>
      </w:r>
      <w:bookmarkEnd w:id="56"/>
      <w:r>
        <w:t xml:space="preserve">. </w:t>
      </w:r>
    </w:p>
  </w:footnote>
  <w:footnote w:id="144">
    <w:p w14:paraId="5F86E1D1" w14:textId="77777777" w:rsidR="00537326" w:rsidRPr="00CC1003" w:rsidRDefault="00537326" w:rsidP="00537326">
      <w:pPr>
        <w:pStyle w:val="Footnote"/>
        <w:rPr>
          <w:lang w:val="en-US"/>
        </w:rPr>
      </w:pPr>
      <w:r w:rsidRPr="006F2343">
        <w:rPr>
          <w:rStyle w:val="FootnoteReference"/>
          <w:vertAlign w:val="baseline"/>
        </w:rPr>
        <w:footnoteRef/>
      </w:r>
      <w:r w:rsidRPr="006F2343">
        <w:t xml:space="preserve"> </w:t>
      </w:r>
      <w:r>
        <w:tab/>
      </w:r>
      <w:r w:rsidRPr="00171569">
        <w:rPr>
          <w:i/>
          <w:iCs/>
        </w:rPr>
        <w:t>Society (WAVES) v The Republic of Sierra Leone</w:t>
      </w:r>
      <w:r w:rsidRPr="006F2343">
        <w:t xml:space="preserve"> </w:t>
      </w:r>
      <w:r w:rsidRPr="00D528E5">
        <w:t>2019</w:t>
      </w:r>
      <w:r>
        <w:t xml:space="preserve"> </w:t>
      </w:r>
      <w:r w:rsidRPr="006F2343">
        <w:t>ECW/CCJ/APP/22/18.</w:t>
      </w:r>
    </w:p>
  </w:footnote>
  <w:footnote w:id="145">
    <w:p w14:paraId="5492040A"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BD4EC0">
        <w:t>ibid.</w:t>
      </w:r>
    </w:p>
  </w:footnote>
  <w:footnote w:id="146">
    <w:p w14:paraId="00B1C9CE" w14:textId="77777777" w:rsidR="00537326" w:rsidRPr="006F2343" w:rsidRDefault="00537326" w:rsidP="00537326">
      <w:pPr>
        <w:pStyle w:val="Footnote"/>
      </w:pPr>
      <w:r w:rsidRPr="006F2343">
        <w:rPr>
          <w:rStyle w:val="FootnoteReference"/>
          <w:vertAlign w:val="baseline"/>
        </w:rPr>
        <w:footnoteRef/>
      </w:r>
      <w:r w:rsidRPr="006F2343">
        <w:t xml:space="preserve"> </w:t>
      </w:r>
      <w:r>
        <w:tab/>
      </w:r>
      <w:proofErr w:type="spellStart"/>
      <w:r w:rsidRPr="00171569">
        <w:rPr>
          <w:i/>
          <w:iCs/>
        </w:rPr>
        <w:t>Hadijatou</w:t>
      </w:r>
      <w:proofErr w:type="spellEnd"/>
      <w:r w:rsidRPr="00171569">
        <w:rPr>
          <w:i/>
          <w:iCs/>
        </w:rPr>
        <w:t xml:space="preserve"> Mani v Niger </w:t>
      </w:r>
      <w:proofErr w:type="spellStart"/>
      <w:r w:rsidRPr="00171569">
        <w:rPr>
          <w:i/>
          <w:iCs/>
        </w:rPr>
        <w:t>koroua</w:t>
      </w:r>
      <w:proofErr w:type="spellEnd"/>
      <w:r w:rsidRPr="00171569">
        <w:rPr>
          <w:i/>
          <w:iCs/>
        </w:rPr>
        <w:t xml:space="preserve"> v the Republic of Niger</w:t>
      </w:r>
      <w:r w:rsidRPr="006F2343">
        <w:t xml:space="preserve"> 2008 ECW/CCJ/JUD/06/08 para 73</w:t>
      </w:r>
      <w:r>
        <w:t>–</w:t>
      </w:r>
      <w:r w:rsidRPr="006F2343">
        <w:t>83.</w:t>
      </w:r>
    </w:p>
  </w:footnote>
  <w:footnote w:id="147">
    <w:p w14:paraId="3F9792F7" w14:textId="77777777" w:rsidR="00537326" w:rsidRPr="00B547C1" w:rsidRDefault="00537326" w:rsidP="00537326">
      <w:pPr>
        <w:pStyle w:val="Footnote"/>
        <w:rPr>
          <w:lang w:val="en-ZA"/>
        </w:rPr>
      </w:pPr>
      <w:r w:rsidRPr="006F2343">
        <w:rPr>
          <w:rStyle w:val="FootnoteReference"/>
          <w:vertAlign w:val="baseline"/>
        </w:rPr>
        <w:footnoteRef/>
      </w:r>
      <w:r w:rsidRPr="00B547C1">
        <w:rPr>
          <w:lang w:val="en-ZA"/>
        </w:rPr>
        <w:t xml:space="preserve"> </w:t>
      </w:r>
      <w:bookmarkStart w:id="58" w:name="_Hlk159667398"/>
      <w:r w:rsidRPr="00B547C1">
        <w:rPr>
          <w:lang w:val="en-ZA"/>
        </w:rPr>
        <w:tab/>
        <w:t xml:space="preserve">ibid. </w:t>
      </w:r>
      <w:bookmarkEnd w:id="58"/>
    </w:p>
  </w:footnote>
  <w:footnote w:id="148">
    <w:p w14:paraId="34EDF13D" w14:textId="77777777" w:rsidR="00537326" w:rsidRPr="00B547C1" w:rsidRDefault="00537326" w:rsidP="00537326">
      <w:pPr>
        <w:pStyle w:val="Footnote"/>
        <w:rPr>
          <w:lang w:val="en-ZA"/>
        </w:rPr>
      </w:pPr>
      <w:r w:rsidRPr="006F2343">
        <w:rPr>
          <w:rStyle w:val="FootnoteReference"/>
          <w:vertAlign w:val="baseline"/>
        </w:rPr>
        <w:footnoteRef/>
      </w:r>
      <w:r w:rsidRPr="00B547C1">
        <w:rPr>
          <w:lang w:val="en-ZA"/>
        </w:rPr>
        <w:t xml:space="preserve"> </w:t>
      </w:r>
      <w:r w:rsidRPr="00B547C1">
        <w:rPr>
          <w:lang w:val="en-ZA"/>
        </w:rPr>
        <w:tab/>
        <w:t>ibid 51.</w:t>
      </w:r>
    </w:p>
  </w:footnote>
  <w:footnote w:id="149">
    <w:p w14:paraId="274C787E" w14:textId="77777777" w:rsidR="00537326" w:rsidRPr="00B547C1" w:rsidRDefault="00537326" w:rsidP="00537326">
      <w:pPr>
        <w:pStyle w:val="Footnote"/>
        <w:rPr>
          <w:lang w:val="en-ZA"/>
        </w:rPr>
      </w:pPr>
      <w:r w:rsidRPr="006F2343">
        <w:rPr>
          <w:rStyle w:val="FootnoteReference"/>
          <w:vertAlign w:val="baseline"/>
        </w:rPr>
        <w:footnoteRef/>
      </w:r>
      <w:r w:rsidRPr="00B547C1">
        <w:rPr>
          <w:lang w:val="en-ZA"/>
        </w:rPr>
        <w:t xml:space="preserve"> </w:t>
      </w:r>
      <w:r w:rsidRPr="00B547C1">
        <w:rPr>
          <w:lang w:val="en-ZA"/>
        </w:rPr>
        <w:tab/>
        <w:t>Duffy (n 139) 51.</w:t>
      </w:r>
    </w:p>
  </w:footnote>
  <w:footnote w:id="150">
    <w:p w14:paraId="3BB7509E"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073F28">
        <w:t>Alicia</w:t>
      </w:r>
      <w:r>
        <w:t xml:space="preserve"> </w:t>
      </w:r>
      <w:r w:rsidRPr="006F2343">
        <w:t>Leduc</w:t>
      </w:r>
      <w:r>
        <w:t>,</w:t>
      </w:r>
      <w:r w:rsidRPr="006F2343">
        <w:t xml:space="preserve"> ‘Strategic Alliances as an Impact Litigation Model: Lessons from the </w:t>
      </w:r>
      <w:proofErr w:type="spellStart"/>
      <w:r w:rsidRPr="006F2343">
        <w:t>Sepur</w:t>
      </w:r>
      <w:proofErr w:type="spellEnd"/>
      <w:r w:rsidRPr="006F2343">
        <w:t xml:space="preserve"> Zarco Human Rights Case in Guatemala’ (2018) WJILDR 212.</w:t>
      </w:r>
    </w:p>
  </w:footnote>
  <w:footnote w:id="151">
    <w:p w14:paraId="029C84E2" w14:textId="77777777" w:rsidR="00537326" w:rsidRPr="006F2343" w:rsidRDefault="00537326" w:rsidP="00537326">
      <w:pPr>
        <w:pStyle w:val="Footnote"/>
      </w:pPr>
      <w:r w:rsidRPr="006F2343">
        <w:rPr>
          <w:rStyle w:val="FootnoteReference"/>
          <w:vertAlign w:val="baseline"/>
        </w:rPr>
        <w:footnoteRef/>
      </w:r>
      <w:r w:rsidRPr="006F2343">
        <w:t xml:space="preserve"> Redress</w:t>
      </w:r>
      <w:r>
        <w:t>,</w:t>
      </w:r>
      <w:r w:rsidRPr="006F2343">
        <w:t xml:space="preserve"> ‘Holistic Strategic Litigation against </w:t>
      </w:r>
      <w:r>
        <w:t>T</w:t>
      </w:r>
      <w:r w:rsidRPr="006F2343">
        <w:t xml:space="preserve">orture’ </w:t>
      </w:r>
      <w:r>
        <w:t>(</w:t>
      </w:r>
      <w:r w:rsidRPr="006F2343">
        <w:t>2021</w:t>
      </w:r>
      <w:r>
        <w:t>)</w:t>
      </w:r>
      <w:r w:rsidRPr="006F2343">
        <w:t xml:space="preserve"> 25 </w:t>
      </w:r>
      <w:r>
        <w:t>&lt;</w:t>
      </w:r>
      <w:hyperlink r:id="rId41" w:history="1">
        <w:r w:rsidRPr="006C675E">
          <w:rPr>
            <w:rStyle w:val="Hyperlink"/>
          </w:rPr>
          <w:t>https://redress.org/wp-content/uploads/2021/06/20210709-Practice-Note-2-for-digital-A5.pdf</w:t>
        </w:r>
      </w:hyperlink>
      <w:r>
        <w:t>&gt;</w:t>
      </w:r>
      <w:r w:rsidRPr="006F2343">
        <w:t xml:space="preserve"> assessed 3 February</w:t>
      </w:r>
      <w:r>
        <w:t xml:space="preserve"> 2024.</w:t>
      </w:r>
    </w:p>
  </w:footnote>
  <w:footnote w:id="152">
    <w:p w14:paraId="49A29084"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171569">
        <w:rPr>
          <w:i/>
          <w:iCs/>
        </w:rPr>
        <w:t xml:space="preserve">Rebeca </w:t>
      </w:r>
      <w:proofErr w:type="spellStart"/>
      <w:r w:rsidRPr="00171569">
        <w:rPr>
          <w:i/>
          <w:iCs/>
        </w:rPr>
        <w:t>Gyumi</w:t>
      </w:r>
      <w:proofErr w:type="spellEnd"/>
      <w:r w:rsidRPr="00171569">
        <w:rPr>
          <w:i/>
          <w:iCs/>
        </w:rPr>
        <w:t xml:space="preserve"> v Attorney General</w:t>
      </w:r>
      <w:r w:rsidRPr="006F2343">
        <w:t xml:space="preserve"> </w:t>
      </w:r>
      <w:r>
        <w:t xml:space="preserve">2016 (6) </w:t>
      </w:r>
      <w:r w:rsidRPr="006F2343">
        <w:t>Misc Civil Cause 5.</w:t>
      </w:r>
    </w:p>
  </w:footnote>
  <w:footnote w:id="153">
    <w:p w14:paraId="7C8EFD8E" w14:textId="77777777" w:rsidR="00537326" w:rsidRPr="006F2343" w:rsidRDefault="00537326" w:rsidP="00537326">
      <w:pPr>
        <w:pStyle w:val="Footnote"/>
      </w:pPr>
      <w:r w:rsidRPr="006F2343">
        <w:rPr>
          <w:rStyle w:val="FootnoteReference"/>
          <w:vertAlign w:val="baseline"/>
        </w:rPr>
        <w:footnoteRef/>
      </w:r>
      <w:r w:rsidRPr="006F2343">
        <w:t xml:space="preserve"> </w:t>
      </w:r>
      <w:r>
        <w:tab/>
      </w:r>
      <w:r w:rsidRPr="006F2343">
        <w:t xml:space="preserve">The Law of Marriage Act, Tanzania 1971 </w:t>
      </w:r>
      <w:r>
        <w:t>(</w:t>
      </w:r>
      <w:r w:rsidRPr="006F2343">
        <w:t>29</w:t>
      </w:r>
      <w:r>
        <w:t>)</w:t>
      </w:r>
      <w:r w:rsidRPr="006F2343">
        <w:t xml:space="preserve"> RE 2002].</w:t>
      </w:r>
    </w:p>
  </w:footnote>
  <w:footnote w:id="154">
    <w:p w14:paraId="14A22D1F" w14:textId="77777777" w:rsidR="00537326" w:rsidRPr="00397E59" w:rsidRDefault="00537326" w:rsidP="00537326">
      <w:pPr>
        <w:pStyle w:val="Footnote"/>
        <w:rPr>
          <w:lang w:val="es-ES"/>
        </w:rPr>
      </w:pPr>
      <w:r w:rsidRPr="006F2343">
        <w:rPr>
          <w:rStyle w:val="FootnoteReference"/>
          <w:vertAlign w:val="baseline"/>
        </w:rPr>
        <w:footnoteRef/>
      </w:r>
      <w:r w:rsidRPr="00397E59">
        <w:rPr>
          <w:lang w:val="es-ES"/>
        </w:rPr>
        <w:t xml:space="preserve"> </w:t>
      </w:r>
      <w:r w:rsidRPr="00397E59">
        <w:rPr>
          <w:lang w:val="es-ES"/>
        </w:rPr>
        <w:tab/>
      </w:r>
      <w:proofErr w:type="spellStart"/>
      <w:r w:rsidRPr="007422B7">
        <w:rPr>
          <w:i/>
          <w:iCs/>
          <w:lang w:val="es-ES"/>
        </w:rPr>
        <w:t>Gyumi</w:t>
      </w:r>
      <w:proofErr w:type="spellEnd"/>
      <w:r>
        <w:rPr>
          <w:lang w:val="es-ES"/>
        </w:rPr>
        <w:t xml:space="preserve"> </w:t>
      </w:r>
      <w:r w:rsidRPr="00397E59">
        <w:rPr>
          <w:lang w:val="es-ES"/>
        </w:rPr>
        <w:t xml:space="preserve">(n 152) para 20. </w:t>
      </w:r>
    </w:p>
  </w:footnote>
  <w:footnote w:id="155">
    <w:p w14:paraId="2CA9AD8B" w14:textId="77777777" w:rsidR="00537326" w:rsidRPr="00B547C1" w:rsidRDefault="00537326" w:rsidP="00537326">
      <w:pPr>
        <w:pStyle w:val="Footnote"/>
        <w:rPr>
          <w:i/>
          <w:iCs/>
          <w:lang w:val="es-ES"/>
        </w:rPr>
      </w:pPr>
      <w:r w:rsidRPr="006F2343">
        <w:rPr>
          <w:rStyle w:val="FootnoteReference"/>
          <w:vertAlign w:val="baseline"/>
        </w:rPr>
        <w:footnoteRef/>
      </w:r>
      <w:r w:rsidRPr="00B547C1">
        <w:rPr>
          <w:lang w:val="es-ES"/>
        </w:rPr>
        <w:t xml:space="preserve"> </w:t>
      </w:r>
      <w:r w:rsidRPr="00B547C1">
        <w:rPr>
          <w:lang w:val="es-ES"/>
        </w:rPr>
        <w:tab/>
      </w:r>
      <w:r w:rsidRPr="00B547C1">
        <w:rPr>
          <w:i/>
          <w:iCs/>
          <w:lang w:val="es-ES"/>
        </w:rPr>
        <w:t xml:space="preserve">Rebeca </w:t>
      </w:r>
      <w:proofErr w:type="spellStart"/>
      <w:r w:rsidRPr="00B547C1">
        <w:rPr>
          <w:i/>
          <w:iCs/>
          <w:lang w:val="es-ES"/>
        </w:rPr>
        <w:t>Gyumi</w:t>
      </w:r>
      <w:proofErr w:type="spellEnd"/>
      <w:r w:rsidRPr="00B547C1">
        <w:rPr>
          <w:i/>
          <w:iCs/>
          <w:lang w:val="es-ES"/>
        </w:rPr>
        <w:t xml:space="preserve"> v </w:t>
      </w:r>
      <w:proofErr w:type="spellStart"/>
      <w:r w:rsidRPr="00B547C1">
        <w:rPr>
          <w:i/>
          <w:iCs/>
          <w:lang w:val="es-ES"/>
        </w:rPr>
        <w:t>Attorney</w:t>
      </w:r>
      <w:proofErr w:type="spellEnd"/>
      <w:r w:rsidRPr="00B547C1">
        <w:rPr>
          <w:i/>
          <w:iCs/>
          <w:lang w:val="es-ES"/>
        </w:rPr>
        <w:t xml:space="preserve"> General </w:t>
      </w:r>
      <w:proofErr w:type="spellStart"/>
      <w:r w:rsidRPr="00B547C1">
        <w:rPr>
          <w:i/>
          <w:iCs/>
          <w:lang w:val="es-ES"/>
        </w:rPr>
        <w:t>Misc</w:t>
      </w:r>
      <w:proofErr w:type="spellEnd"/>
      <w:r w:rsidRPr="00B547C1">
        <w:rPr>
          <w:i/>
          <w:iCs/>
          <w:lang w:val="es-ES"/>
        </w:rPr>
        <w:t xml:space="preserve"> Civil Cause </w:t>
      </w:r>
      <w:r w:rsidRPr="00B547C1">
        <w:rPr>
          <w:lang w:val="es-ES"/>
        </w:rPr>
        <w:t>2016 (5) para 20.</w:t>
      </w:r>
    </w:p>
  </w:footnote>
  <w:footnote w:id="156">
    <w:p w14:paraId="04737894" w14:textId="77777777" w:rsidR="00537326" w:rsidRPr="00205B62" w:rsidRDefault="00537326" w:rsidP="00537326">
      <w:pPr>
        <w:pStyle w:val="Footnote"/>
      </w:pPr>
      <w:r w:rsidRPr="006F2343">
        <w:rPr>
          <w:rStyle w:val="FootnoteReference"/>
          <w:vertAlign w:val="baseline"/>
        </w:rPr>
        <w:footnoteRef/>
      </w:r>
      <w:r w:rsidRPr="00205B62">
        <w:t xml:space="preserve"> </w:t>
      </w:r>
      <w:bookmarkStart w:id="59" w:name="_Hlk164688115"/>
      <w:r>
        <w:tab/>
      </w:r>
      <w:r w:rsidRPr="00947820">
        <w:t>Isabela</w:t>
      </w:r>
      <w:r>
        <w:t xml:space="preserve"> </w:t>
      </w:r>
      <w:proofErr w:type="spellStart"/>
      <w:r w:rsidRPr="00205B62">
        <w:t>Warioba</w:t>
      </w:r>
      <w:proofErr w:type="spellEnd"/>
      <w:r>
        <w:t>,</w:t>
      </w:r>
      <w:r w:rsidRPr="00205B62">
        <w:t xml:space="preserve"> ‘The Impact of The Maputo Protocol in Tanzania’ </w:t>
      </w:r>
      <w:r>
        <w:t xml:space="preserve">in </w:t>
      </w:r>
      <w:r w:rsidRPr="00224D7E">
        <w:t xml:space="preserve">Susan </w:t>
      </w:r>
      <w:proofErr w:type="spellStart"/>
      <w:r w:rsidRPr="00224D7E">
        <w:t>Mutambasere</w:t>
      </w:r>
      <w:proofErr w:type="spellEnd"/>
      <w:r w:rsidRPr="00224D7E">
        <w:t xml:space="preserve">, </w:t>
      </w:r>
      <w:proofErr w:type="spellStart"/>
      <w:r w:rsidRPr="00224D7E">
        <w:t>Ashwanee</w:t>
      </w:r>
      <w:proofErr w:type="spellEnd"/>
      <w:r w:rsidRPr="00224D7E">
        <w:t xml:space="preserve"> Budoo-Scholtz and Davina Murden (eds) </w:t>
      </w:r>
      <w:r w:rsidRPr="00171569">
        <w:rPr>
          <w:i/>
          <w:iCs/>
        </w:rPr>
        <w:t xml:space="preserve">The </w:t>
      </w:r>
      <w:r>
        <w:rPr>
          <w:i/>
          <w:iCs/>
        </w:rPr>
        <w:t>I</w:t>
      </w:r>
      <w:r w:rsidRPr="00171569">
        <w:rPr>
          <w:i/>
          <w:iCs/>
        </w:rPr>
        <w:t xml:space="preserve">mpact of the Maputo Protocol in </w:t>
      </w:r>
      <w:r>
        <w:rPr>
          <w:i/>
          <w:iCs/>
        </w:rPr>
        <w:t>S</w:t>
      </w:r>
      <w:r w:rsidRPr="00171569">
        <w:rPr>
          <w:i/>
          <w:iCs/>
        </w:rPr>
        <w:t xml:space="preserve">elected African </w:t>
      </w:r>
      <w:r>
        <w:rPr>
          <w:i/>
          <w:iCs/>
        </w:rPr>
        <w:t>S</w:t>
      </w:r>
      <w:r w:rsidRPr="00171569">
        <w:rPr>
          <w:i/>
          <w:iCs/>
        </w:rPr>
        <w:t>tates</w:t>
      </w:r>
      <w:r w:rsidRPr="00205B62">
        <w:t xml:space="preserve"> (</w:t>
      </w:r>
      <w:r w:rsidRPr="00BD4EC0">
        <w:t xml:space="preserve">PULP </w:t>
      </w:r>
      <w:r w:rsidRPr="00205B62">
        <w:t>2023) 282.</w:t>
      </w:r>
      <w:bookmarkEnd w:id="59"/>
    </w:p>
  </w:footnote>
  <w:footnote w:id="157">
    <w:p w14:paraId="5CE57964" w14:textId="77777777" w:rsidR="00537326" w:rsidRPr="00205B62" w:rsidRDefault="00537326" w:rsidP="00537326">
      <w:pPr>
        <w:pStyle w:val="Footnote"/>
      </w:pPr>
      <w:r w:rsidRPr="00205B62">
        <w:rPr>
          <w:rStyle w:val="FootnoteReference"/>
          <w:vertAlign w:val="baseline"/>
        </w:rPr>
        <w:footnoteRef/>
      </w:r>
      <w:r w:rsidRPr="00205B62">
        <w:t xml:space="preserve"> </w:t>
      </w:r>
      <w:r>
        <w:tab/>
      </w:r>
      <w:proofErr w:type="spellStart"/>
      <w:r>
        <w:t>Warioba</w:t>
      </w:r>
      <w:proofErr w:type="spellEnd"/>
      <w:r>
        <w:t xml:space="preserve"> </w:t>
      </w:r>
      <w:r w:rsidRPr="00205B62">
        <w:t xml:space="preserve">(n 156) 283. </w:t>
      </w:r>
    </w:p>
  </w:footnote>
  <w:footnote w:id="158">
    <w:p w14:paraId="6A6ED0EF"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171569">
        <w:rPr>
          <w:i/>
          <w:iCs/>
        </w:rPr>
        <w:t xml:space="preserve">The Commissioner of CHRAJ </w:t>
      </w:r>
      <w:r>
        <w:rPr>
          <w:i/>
          <w:iCs/>
        </w:rPr>
        <w:t>and Two</w:t>
      </w:r>
      <w:r w:rsidRPr="00171569">
        <w:rPr>
          <w:i/>
          <w:iCs/>
        </w:rPr>
        <w:t xml:space="preserve"> </w:t>
      </w:r>
      <w:r>
        <w:rPr>
          <w:i/>
          <w:iCs/>
        </w:rPr>
        <w:t>Others</w:t>
      </w:r>
      <w:r w:rsidRPr="00171569">
        <w:rPr>
          <w:i/>
          <w:iCs/>
        </w:rPr>
        <w:t xml:space="preserve"> v Ghana National Fire Service </w:t>
      </w:r>
      <w:r>
        <w:rPr>
          <w:i/>
          <w:iCs/>
        </w:rPr>
        <w:t>and</w:t>
      </w:r>
      <w:r w:rsidRPr="00171569">
        <w:rPr>
          <w:i/>
          <w:iCs/>
        </w:rPr>
        <w:t xml:space="preserve"> Anor</w:t>
      </w:r>
      <w:r w:rsidRPr="00205B62">
        <w:t xml:space="preserve"> </w:t>
      </w:r>
      <w:r>
        <w:t xml:space="preserve">2017 </w:t>
      </w:r>
      <w:r w:rsidRPr="00205B62">
        <w:t>HR/0063/2017</w:t>
      </w:r>
      <w:r>
        <w:t>.</w:t>
      </w:r>
    </w:p>
  </w:footnote>
  <w:footnote w:id="159">
    <w:p w14:paraId="38525856"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 xml:space="preserve">bid. </w:t>
      </w:r>
    </w:p>
  </w:footnote>
  <w:footnote w:id="160">
    <w:p w14:paraId="4A13AA37" w14:textId="77777777" w:rsidR="00537326" w:rsidRPr="00205B62" w:rsidRDefault="00537326" w:rsidP="00537326">
      <w:pPr>
        <w:pStyle w:val="Footnote"/>
      </w:pPr>
      <w:r w:rsidRPr="00205B62">
        <w:rPr>
          <w:rStyle w:val="FootnoteReference"/>
          <w:vertAlign w:val="baseline"/>
        </w:rPr>
        <w:footnoteRef/>
      </w:r>
      <w:r w:rsidRPr="00205B62">
        <w:t xml:space="preserve"> </w:t>
      </w:r>
      <w:r>
        <w:tab/>
      </w:r>
      <w:proofErr w:type="spellStart"/>
      <w:r w:rsidRPr="007422B7">
        <w:t>Dzah</w:t>
      </w:r>
      <w:proofErr w:type="spellEnd"/>
      <w:r w:rsidRPr="007422B7">
        <w:t xml:space="preserve"> </w:t>
      </w:r>
      <w:r w:rsidRPr="00205B62">
        <w:t>(n 84) 144.</w:t>
      </w:r>
    </w:p>
  </w:footnote>
  <w:footnote w:id="161">
    <w:p w14:paraId="6F75EB0D" w14:textId="77777777" w:rsidR="00537326" w:rsidRPr="00205B62" w:rsidRDefault="00537326" w:rsidP="00537326">
      <w:pPr>
        <w:pStyle w:val="Footnote"/>
      </w:pPr>
      <w:r w:rsidRPr="00205B62">
        <w:rPr>
          <w:rStyle w:val="FootnoteReference"/>
          <w:vertAlign w:val="baseline"/>
        </w:rPr>
        <w:footnoteRef/>
      </w:r>
      <w:r w:rsidRPr="00205B62">
        <w:t xml:space="preserve"> </w:t>
      </w:r>
      <w:r>
        <w:tab/>
      </w:r>
      <w:proofErr w:type="spellStart"/>
      <w:r w:rsidRPr="00171569">
        <w:rPr>
          <w:i/>
          <w:iCs/>
        </w:rPr>
        <w:t>Bhe</w:t>
      </w:r>
      <w:proofErr w:type="spellEnd"/>
      <w:r w:rsidRPr="00171569">
        <w:rPr>
          <w:i/>
          <w:iCs/>
        </w:rPr>
        <w:t xml:space="preserve"> and Others v The Magistrate, Khayelitsha and Others</w:t>
      </w:r>
      <w:r w:rsidRPr="00205B62">
        <w:t xml:space="preserve"> </w:t>
      </w:r>
      <w:r w:rsidRPr="006A26B8">
        <w:t>2005</w:t>
      </w:r>
      <w:r>
        <w:t xml:space="preserve"> (3) </w:t>
      </w:r>
      <w:r w:rsidRPr="00205B62">
        <w:t xml:space="preserve">49/03; </w:t>
      </w:r>
      <w:r w:rsidRPr="00171569">
        <w:rPr>
          <w:i/>
          <w:iCs/>
        </w:rPr>
        <w:t>Shibi v Sithole and Others</w:t>
      </w:r>
      <w:r w:rsidRPr="00205B62">
        <w:t xml:space="preserve"> </w:t>
      </w:r>
      <w:r>
        <w:t xml:space="preserve">2004 (3) </w:t>
      </w:r>
      <w:r w:rsidRPr="00205B62">
        <w:t xml:space="preserve">69/03; </w:t>
      </w:r>
      <w:r w:rsidRPr="00171569">
        <w:rPr>
          <w:i/>
          <w:iCs/>
        </w:rPr>
        <w:t>South African Human Rights Commission and Another v President of the Republic of South Africa and Another Case</w:t>
      </w:r>
      <w:r w:rsidRPr="00205B62">
        <w:t xml:space="preserve"> </w:t>
      </w:r>
      <w:r>
        <w:t xml:space="preserve">2005 (3) </w:t>
      </w:r>
      <w:r w:rsidRPr="00205B62">
        <w:t>CCT 50/03.</w:t>
      </w:r>
    </w:p>
  </w:footnote>
  <w:footnote w:id="162">
    <w:p w14:paraId="19C74138" w14:textId="77777777" w:rsidR="00537326" w:rsidRPr="00205B62" w:rsidRDefault="00537326" w:rsidP="00537326">
      <w:pPr>
        <w:pStyle w:val="Footnote"/>
      </w:pPr>
      <w:r w:rsidRPr="00205B62">
        <w:rPr>
          <w:rStyle w:val="FootnoteReference"/>
          <w:vertAlign w:val="baseline"/>
        </w:rPr>
        <w:footnoteRef/>
      </w:r>
      <w:r w:rsidRPr="00205B62">
        <w:t xml:space="preserve"> </w:t>
      </w:r>
      <w:bookmarkStart w:id="61" w:name="_Hlk128497878"/>
      <w:r>
        <w:tab/>
      </w:r>
      <w:r w:rsidRPr="00205B62">
        <w:t xml:space="preserve">The Constitution of Ghana </w:t>
      </w:r>
      <w:r>
        <w:t>(n 2)</w:t>
      </w:r>
      <w:r w:rsidRPr="00205B62">
        <w:t xml:space="preserve"> </w:t>
      </w:r>
      <w:bookmarkEnd w:id="61"/>
      <w:r w:rsidRPr="00205B62">
        <w:t xml:space="preserve">art 27 and 36 (6). </w:t>
      </w:r>
    </w:p>
  </w:footnote>
  <w:footnote w:id="163">
    <w:p w14:paraId="0C1DBF9D" w14:textId="77777777" w:rsidR="00537326" w:rsidRPr="00205B62" w:rsidRDefault="00537326" w:rsidP="00537326">
      <w:pPr>
        <w:pStyle w:val="Footnote"/>
      </w:pPr>
      <w:r w:rsidRPr="00205B62">
        <w:rPr>
          <w:rStyle w:val="FootnoteReference"/>
          <w:vertAlign w:val="baseline"/>
        </w:rPr>
        <w:footnoteRef/>
      </w:r>
      <w:r w:rsidRPr="00205B62">
        <w:t xml:space="preserve"> </w:t>
      </w:r>
      <w:r>
        <w:tab/>
        <w:t xml:space="preserve">ibid </w:t>
      </w:r>
      <w:r w:rsidRPr="00205B62">
        <w:t xml:space="preserve">art 12. </w:t>
      </w:r>
    </w:p>
  </w:footnote>
  <w:footnote w:id="164">
    <w:p w14:paraId="6C4C9B56" w14:textId="77777777" w:rsidR="00537326" w:rsidRPr="00205B62" w:rsidRDefault="00537326" w:rsidP="00537326">
      <w:pPr>
        <w:pStyle w:val="Footnote"/>
      </w:pPr>
      <w:r w:rsidRPr="00205B62">
        <w:rPr>
          <w:rStyle w:val="FootnoteReference"/>
          <w:vertAlign w:val="baseline"/>
        </w:rPr>
        <w:footnoteRef/>
      </w:r>
      <w:r w:rsidRPr="00205B62">
        <w:t xml:space="preserve"> </w:t>
      </w:r>
      <w:bookmarkStart w:id="62" w:name="_Hlk128464686"/>
      <w:r>
        <w:tab/>
      </w:r>
      <w:r w:rsidRPr="00205B62">
        <w:t>The Constitution of Uganda 1995 art 33.</w:t>
      </w:r>
      <w:bookmarkEnd w:id="62"/>
    </w:p>
  </w:footnote>
  <w:footnote w:id="165">
    <w:p w14:paraId="51F02003"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 art 33 (2).</w:t>
      </w:r>
    </w:p>
  </w:footnote>
  <w:footnote w:id="166">
    <w:p w14:paraId="0408F0FB"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 art 33 (3).</w:t>
      </w:r>
    </w:p>
  </w:footnote>
  <w:footnote w:id="167">
    <w:p w14:paraId="66117126"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 art 33 (5).</w:t>
      </w:r>
    </w:p>
  </w:footnote>
  <w:footnote w:id="168">
    <w:p w14:paraId="462E9FD6"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 art 32.</w:t>
      </w:r>
    </w:p>
  </w:footnote>
  <w:footnote w:id="169">
    <w:p w14:paraId="05B6B734" w14:textId="77777777" w:rsidR="00537326" w:rsidRPr="00205B62" w:rsidRDefault="00537326" w:rsidP="00537326">
      <w:pPr>
        <w:pStyle w:val="Footnote"/>
      </w:pPr>
      <w:r w:rsidRPr="00205B62">
        <w:rPr>
          <w:rStyle w:val="FootnoteReference"/>
          <w:vertAlign w:val="baseline"/>
        </w:rPr>
        <w:footnoteRef/>
      </w:r>
      <w:r w:rsidRPr="00205B62">
        <w:t xml:space="preserve"> </w:t>
      </w:r>
      <w:r>
        <w:tab/>
        <w:t>i</w:t>
      </w:r>
      <w:r w:rsidRPr="00205B62">
        <w:t>bid art 33 (2).</w:t>
      </w:r>
    </w:p>
  </w:footnote>
  <w:footnote w:id="170">
    <w:p w14:paraId="4D9EECEE"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The Constitution of Ghana </w:t>
      </w:r>
      <w:r>
        <w:t xml:space="preserve">(n 2) </w:t>
      </w:r>
      <w:r w:rsidRPr="00205B62">
        <w:t xml:space="preserve">art 35 (5). </w:t>
      </w:r>
    </w:p>
  </w:footnote>
  <w:footnote w:id="171">
    <w:p w14:paraId="64F43249" w14:textId="77777777" w:rsidR="00537326" w:rsidRPr="00CC1003" w:rsidRDefault="00537326" w:rsidP="00537326">
      <w:pPr>
        <w:pStyle w:val="Footnote"/>
        <w:rPr>
          <w:rFonts w:ascii="Tahoma" w:hAnsi="Tahoma" w:cs="Tahoma"/>
          <w:color w:val="000000"/>
          <w:sz w:val="20"/>
        </w:rPr>
      </w:pPr>
      <w:r w:rsidRPr="00205B62">
        <w:rPr>
          <w:rStyle w:val="FootnoteReference"/>
          <w:vertAlign w:val="baseline"/>
        </w:rPr>
        <w:footnoteRef/>
      </w:r>
      <w:r w:rsidRPr="00205B62">
        <w:t xml:space="preserve"> </w:t>
      </w:r>
      <w:bookmarkStart w:id="64" w:name="_Hlk164585512"/>
      <w:r>
        <w:tab/>
        <w:t>ibid</w:t>
      </w:r>
      <w:r w:rsidRPr="00205B62">
        <w:t xml:space="preserve"> art 1(2) and 2(1).</w:t>
      </w:r>
      <w:bookmarkEnd w:id="64"/>
    </w:p>
  </w:footnote>
  <w:footnote w:id="172">
    <w:p w14:paraId="073A13D5" w14:textId="77777777" w:rsidR="00537326" w:rsidRPr="00205B62" w:rsidRDefault="00537326" w:rsidP="00537326">
      <w:pPr>
        <w:pStyle w:val="Footnote"/>
      </w:pPr>
      <w:r w:rsidRPr="00205B62">
        <w:rPr>
          <w:rStyle w:val="FootnoteReference"/>
          <w:vertAlign w:val="baseline"/>
        </w:rPr>
        <w:footnoteRef/>
      </w:r>
      <w:r>
        <w:t xml:space="preserve"> </w:t>
      </w:r>
      <w:r>
        <w:tab/>
        <w:t>ibid</w:t>
      </w:r>
      <w:r w:rsidRPr="00205B62">
        <w:t xml:space="preserve"> art 1(2).</w:t>
      </w:r>
    </w:p>
  </w:footnote>
  <w:footnote w:id="173">
    <w:p w14:paraId="5A1788C7" w14:textId="77777777" w:rsidR="00537326" w:rsidRPr="00205B62" w:rsidRDefault="00537326" w:rsidP="00537326">
      <w:pPr>
        <w:pStyle w:val="Footnote"/>
      </w:pPr>
      <w:r w:rsidRPr="00205B62">
        <w:rPr>
          <w:rStyle w:val="FootnoteReference"/>
          <w:vertAlign w:val="baseline"/>
        </w:rPr>
        <w:footnoteRef/>
      </w:r>
      <w:r w:rsidRPr="00205B62">
        <w:t xml:space="preserve"> </w:t>
      </w:r>
      <w:r>
        <w:tab/>
        <w:t xml:space="preserve">ibid </w:t>
      </w:r>
      <w:r w:rsidRPr="00205B62">
        <w:t>art 2(1</w:t>
      </w:r>
      <w:r>
        <w:t xml:space="preserve"> and </w:t>
      </w:r>
      <w:r w:rsidRPr="00205B62">
        <w:t>3).</w:t>
      </w:r>
    </w:p>
  </w:footnote>
  <w:footnote w:id="174">
    <w:p w14:paraId="53E70F30" w14:textId="77777777" w:rsidR="00537326" w:rsidRPr="00205B62" w:rsidRDefault="00537326" w:rsidP="00537326">
      <w:pPr>
        <w:pStyle w:val="Footnote"/>
      </w:pPr>
      <w:r w:rsidRPr="00205B62">
        <w:rPr>
          <w:rStyle w:val="FootnoteReference"/>
          <w:vertAlign w:val="baseline"/>
        </w:rPr>
        <w:footnoteRef/>
      </w:r>
      <w:r w:rsidRPr="00205B62">
        <w:t xml:space="preserve"> </w:t>
      </w:r>
      <w:r>
        <w:tab/>
        <w:t xml:space="preserve">ibid </w:t>
      </w:r>
      <w:r w:rsidRPr="00205B62">
        <w:t>art 130.</w:t>
      </w:r>
    </w:p>
  </w:footnote>
  <w:footnote w:id="175">
    <w:p w14:paraId="623E768F"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Wood </w:t>
      </w:r>
      <w:r w:rsidRPr="006E65ED">
        <w:t>CJ</w:t>
      </w:r>
      <w:r w:rsidRPr="00205B62">
        <w:t xml:space="preserve"> in </w:t>
      </w:r>
      <w:r w:rsidRPr="00171569">
        <w:rPr>
          <w:i/>
          <w:iCs/>
        </w:rPr>
        <w:t xml:space="preserve">Brown </w:t>
      </w:r>
      <w:r>
        <w:rPr>
          <w:i/>
          <w:iCs/>
        </w:rPr>
        <w:t>v</w:t>
      </w:r>
      <w:r w:rsidRPr="00171569">
        <w:rPr>
          <w:i/>
          <w:iCs/>
        </w:rPr>
        <w:t xml:space="preserve"> Attorney-General</w:t>
      </w:r>
      <w:r w:rsidRPr="00205B62">
        <w:t xml:space="preserve"> 2010 SCGLR 183. </w:t>
      </w:r>
    </w:p>
  </w:footnote>
  <w:footnote w:id="176">
    <w:p w14:paraId="115728CA" w14:textId="77777777" w:rsidR="00537326" w:rsidRPr="00205B62" w:rsidRDefault="00537326" w:rsidP="00537326">
      <w:pPr>
        <w:pStyle w:val="Footnote"/>
      </w:pPr>
      <w:r w:rsidRPr="00205B62">
        <w:rPr>
          <w:rStyle w:val="FootnoteReference"/>
          <w:vertAlign w:val="baseline"/>
        </w:rPr>
        <w:footnoteRef/>
      </w:r>
      <w:r w:rsidRPr="00205B62">
        <w:t xml:space="preserve"> </w:t>
      </w:r>
      <w:r>
        <w:tab/>
      </w:r>
      <w:proofErr w:type="spellStart"/>
      <w:r w:rsidRPr="00171569">
        <w:rPr>
          <w:i/>
          <w:iCs/>
        </w:rPr>
        <w:t>Okudzeto</w:t>
      </w:r>
      <w:proofErr w:type="spellEnd"/>
      <w:r w:rsidRPr="00171569">
        <w:rPr>
          <w:i/>
          <w:iCs/>
        </w:rPr>
        <w:t xml:space="preserve"> </w:t>
      </w:r>
      <w:proofErr w:type="spellStart"/>
      <w:r w:rsidRPr="00171569">
        <w:rPr>
          <w:i/>
          <w:iCs/>
        </w:rPr>
        <w:t>Ablakwa</w:t>
      </w:r>
      <w:proofErr w:type="spellEnd"/>
      <w:r w:rsidRPr="00171569">
        <w:rPr>
          <w:i/>
          <w:iCs/>
        </w:rPr>
        <w:t xml:space="preserve"> and Another v Attorney-General and </w:t>
      </w:r>
      <w:proofErr w:type="spellStart"/>
      <w:r w:rsidRPr="00171569">
        <w:rPr>
          <w:i/>
          <w:iCs/>
        </w:rPr>
        <w:t>Obetsebi</w:t>
      </w:r>
      <w:proofErr w:type="spellEnd"/>
      <w:r w:rsidRPr="00171569">
        <w:rPr>
          <w:i/>
          <w:iCs/>
        </w:rPr>
        <w:t xml:space="preserve"> Lamptey</w:t>
      </w:r>
      <w:r w:rsidRPr="00205B62">
        <w:t xml:space="preserve"> 2011 </w:t>
      </w:r>
      <w:r>
        <w:t>(</w:t>
      </w:r>
      <w:r w:rsidRPr="00205B62">
        <w:t>2</w:t>
      </w:r>
      <w:r>
        <w:t>)</w:t>
      </w:r>
      <w:r w:rsidRPr="00205B62">
        <w:t xml:space="preserve"> SCGLR 986; </w:t>
      </w:r>
      <w:bookmarkStart w:id="65" w:name="_Hlk164690627"/>
      <w:proofErr w:type="spellStart"/>
      <w:r w:rsidRPr="00171569">
        <w:rPr>
          <w:i/>
          <w:iCs/>
        </w:rPr>
        <w:t>Ezuame</w:t>
      </w:r>
      <w:proofErr w:type="spellEnd"/>
      <w:r w:rsidRPr="00171569">
        <w:rPr>
          <w:i/>
          <w:iCs/>
        </w:rPr>
        <w:t xml:space="preserve"> Mannan </w:t>
      </w:r>
      <w:r>
        <w:rPr>
          <w:i/>
          <w:iCs/>
        </w:rPr>
        <w:t>v</w:t>
      </w:r>
      <w:r w:rsidRPr="00171569">
        <w:rPr>
          <w:i/>
          <w:iCs/>
        </w:rPr>
        <w:t xml:space="preserve"> The Attorney-General and Speaker of Parliament</w:t>
      </w:r>
      <w:r w:rsidRPr="00205B62">
        <w:t xml:space="preserve"> 2022 JELR 109828 (SC).</w:t>
      </w:r>
    </w:p>
    <w:bookmarkEnd w:id="65"/>
  </w:footnote>
  <w:footnote w:id="177">
    <w:p w14:paraId="57C482E1"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The Constitution of Ghana 1992 art 106; See </w:t>
      </w:r>
      <w:proofErr w:type="spellStart"/>
      <w:r w:rsidRPr="00205B62">
        <w:t>Adinyira</w:t>
      </w:r>
      <w:proofErr w:type="spellEnd"/>
      <w:r w:rsidRPr="00205B62">
        <w:t xml:space="preserve"> JSC in </w:t>
      </w:r>
      <w:bookmarkStart w:id="66" w:name="_Hlk164690879"/>
      <w:r w:rsidRPr="00171569">
        <w:rPr>
          <w:i/>
          <w:iCs/>
        </w:rPr>
        <w:t xml:space="preserve">James Kwabena </w:t>
      </w:r>
      <w:proofErr w:type="spellStart"/>
      <w:r w:rsidRPr="00171569">
        <w:rPr>
          <w:i/>
          <w:iCs/>
        </w:rPr>
        <w:t>Bomfeh</w:t>
      </w:r>
      <w:proofErr w:type="spellEnd"/>
      <w:r w:rsidRPr="00171569">
        <w:rPr>
          <w:i/>
          <w:iCs/>
        </w:rPr>
        <w:t xml:space="preserve"> v Attorney General</w:t>
      </w:r>
      <w:r w:rsidRPr="00205B62">
        <w:t xml:space="preserve"> 2019 </w:t>
      </w:r>
      <w:proofErr w:type="spellStart"/>
      <w:r w:rsidRPr="00205B62">
        <w:t>Jl</w:t>
      </w:r>
      <w:proofErr w:type="spellEnd"/>
      <w:r w:rsidRPr="00205B62">
        <w:t>/14/2017</w:t>
      </w:r>
      <w:r>
        <w:t>.</w:t>
      </w:r>
      <w:bookmarkEnd w:id="66"/>
    </w:p>
  </w:footnote>
  <w:footnote w:id="178">
    <w:p w14:paraId="28DDE61B"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The Constitution of Ghana</w:t>
      </w:r>
      <w:r>
        <w:t xml:space="preserve"> (n 2)</w:t>
      </w:r>
      <w:r w:rsidRPr="00205B62">
        <w:t xml:space="preserve"> art 12, art 33(5), art 35 (5), art 40 and </w:t>
      </w:r>
      <w:r>
        <w:t>a</w:t>
      </w:r>
      <w:r w:rsidRPr="00205B62">
        <w:t>rt 75.</w:t>
      </w:r>
    </w:p>
  </w:footnote>
  <w:footnote w:id="179">
    <w:p w14:paraId="63D150A7"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171569">
        <w:rPr>
          <w:i/>
          <w:iCs/>
        </w:rPr>
        <w:t>Justice Abdulai v The Attorney General</w:t>
      </w:r>
      <w:r w:rsidRPr="00205B62">
        <w:t xml:space="preserve"> </w:t>
      </w:r>
      <w:r>
        <w:t xml:space="preserve">2022 </w:t>
      </w:r>
      <w:r w:rsidRPr="00205B62">
        <w:t>11/07/2022</w:t>
      </w:r>
    </w:p>
  </w:footnote>
  <w:footnote w:id="180">
    <w:p w14:paraId="7010155E" w14:textId="77777777" w:rsidR="00537326" w:rsidRPr="00205B62" w:rsidRDefault="00537326" w:rsidP="00537326">
      <w:pPr>
        <w:pStyle w:val="Footnote"/>
      </w:pPr>
      <w:r w:rsidRPr="00205B62">
        <w:rPr>
          <w:rStyle w:val="FootnoteReference"/>
          <w:vertAlign w:val="baseline"/>
        </w:rPr>
        <w:footnoteRef/>
      </w:r>
      <w:r w:rsidRPr="00205B62">
        <w:t xml:space="preserve"> </w:t>
      </w:r>
      <w:r>
        <w:tab/>
      </w:r>
      <w:r w:rsidRPr="00205B62">
        <w:t xml:space="preserve">The Constitution of Ghana </w:t>
      </w:r>
      <w:r>
        <w:t>(n 2)</w:t>
      </w:r>
      <w:r w:rsidRPr="00205B62">
        <w:t>.</w:t>
      </w:r>
    </w:p>
    <w:p w14:paraId="3410BD45" w14:textId="77777777" w:rsidR="00537326" w:rsidRPr="00205B62" w:rsidRDefault="00537326" w:rsidP="00537326">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473E" w14:textId="77777777" w:rsidR="00986427" w:rsidRDefault="00986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3D6B" w14:textId="7E7E0F75" w:rsidR="00BC707F" w:rsidRPr="000B242C" w:rsidRDefault="00BF4344" w:rsidP="000B242C">
    <w:pPr>
      <w:pStyle w:val="Headerp2"/>
      <w:rPr>
        <w:szCs w:val="18"/>
      </w:rPr>
    </w:pPr>
    <w:r>
      <w:rPr>
        <w:szCs w:val="18"/>
      </w:rPr>
      <w:t>Fiattor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9011" w14:textId="4798450B" w:rsidR="00BC707F" w:rsidRDefault="00BC707F">
    <w:pPr>
      <w:pStyle w:val="Header"/>
    </w:pPr>
    <w:r>
      <w:rPr>
        <w:lang w:val="en-US"/>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3CB898"/>
    <w:lvl w:ilvl="0">
      <w:start w:val="1"/>
      <w:numFmt w:val="bullet"/>
      <w:pStyle w:val="ListBullet"/>
      <w:lvlText w:val=""/>
      <w:lvlJc w:val="left"/>
      <w:pPr>
        <w:ind w:left="360" w:hanging="360"/>
      </w:pPr>
      <w:rPr>
        <w:rFonts w:ascii="Symbol" w:hAnsi="Symbol" w:hint="default"/>
      </w:rPr>
    </w:lvl>
  </w:abstractNum>
  <w:abstractNum w:abstractNumId="1" w15:restartNumberingAfterBreak="0">
    <w:nsid w:val="503950FB"/>
    <w:multiLevelType w:val="hybridMultilevel"/>
    <w:tmpl w:val="A364E4E6"/>
    <w:lvl w:ilvl="0" w:tplc="11205580">
      <w:start w:val="1"/>
      <w:numFmt w:val="bullet"/>
      <w:pStyle w:val="ListParagraph"/>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1997929">
    <w:abstractNumId w:val="1"/>
  </w:num>
  <w:num w:numId="2" w16cid:durableId="4362150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E2"/>
    <w:rsid w:val="000036C4"/>
    <w:rsid w:val="00003DC1"/>
    <w:rsid w:val="0001388E"/>
    <w:rsid w:val="000212C3"/>
    <w:rsid w:val="00033058"/>
    <w:rsid w:val="00033975"/>
    <w:rsid w:val="0004150A"/>
    <w:rsid w:val="00041AE3"/>
    <w:rsid w:val="00041B16"/>
    <w:rsid w:val="00041C60"/>
    <w:rsid w:val="0004695D"/>
    <w:rsid w:val="00071794"/>
    <w:rsid w:val="000759CE"/>
    <w:rsid w:val="00093102"/>
    <w:rsid w:val="000A1C4E"/>
    <w:rsid w:val="000B029D"/>
    <w:rsid w:val="000B2385"/>
    <w:rsid w:val="000B242C"/>
    <w:rsid w:val="000B4F84"/>
    <w:rsid w:val="000C277E"/>
    <w:rsid w:val="000D7B52"/>
    <w:rsid w:val="000E08CA"/>
    <w:rsid w:val="000F191F"/>
    <w:rsid w:val="000F1C40"/>
    <w:rsid w:val="000F281A"/>
    <w:rsid w:val="001017E7"/>
    <w:rsid w:val="001019DA"/>
    <w:rsid w:val="00106C22"/>
    <w:rsid w:val="001113CA"/>
    <w:rsid w:val="001150B8"/>
    <w:rsid w:val="00115B12"/>
    <w:rsid w:val="00131BA0"/>
    <w:rsid w:val="00150535"/>
    <w:rsid w:val="001540E0"/>
    <w:rsid w:val="00154333"/>
    <w:rsid w:val="00172D42"/>
    <w:rsid w:val="001776A5"/>
    <w:rsid w:val="00177739"/>
    <w:rsid w:val="0019160F"/>
    <w:rsid w:val="00191754"/>
    <w:rsid w:val="00194992"/>
    <w:rsid w:val="00196054"/>
    <w:rsid w:val="001B06CA"/>
    <w:rsid w:val="001B65A3"/>
    <w:rsid w:val="001B6FDE"/>
    <w:rsid w:val="001D323B"/>
    <w:rsid w:val="001D5A1E"/>
    <w:rsid w:val="001E3103"/>
    <w:rsid w:val="001E40F9"/>
    <w:rsid w:val="00205E11"/>
    <w:rsid w:val="00206854"/>
    <w:rsid w:val="0020798A"/>
    <w:rsid w:val="002120F4"/>
    <w:rsid w:val="00221218"/>
    <w:rsid w:val="00224818"/>
    <w:rsid w:val="00230DA8"/>
    <w:rsid w:val="002362BD"/>
    <w:rsid w:val="00277F52"/>
    <w:rsid w:val="00293A53"/>
    <w:rsid w:val="002B5049"/>
    <w:rsid w:val="002B6C6B"/>
    <w:rsid w:val="002C12DF"/>
    <w:rsid w:val="002C5595"/>
    <w:rsid w:val="002D3C6E"/>
    <w:rsid w:val="002E15E3"/>
    <w:rsid w:val="002E456A"/>
    <w:rsid w:val="002F7BAE"/>
    <w:rsid w:val="0032485A"/>
    <w:rsid w:val="00336862"/>
    <w:rsid w:val="003374D3"/>
    <w:rsid w:val="003449A6"/>
    <w:rsid w:val="003520F7"/>
    <w:rsid w:val="003615C1"/>
    <w:rsid w:val="0036181D"/>
    <w:rsid w:val="003626CA"/>
    <w:rsid w:val="0036505C"/>
    <w:rsid w:val="0036586A"/>
    <w:rsid w:val="0037059F"/>
    <w:rsid w:val="00375AB6"/>
    <w:rsid w:val="00375D09"/>
    <w:rsid w:val="003A0E8E"/>
    <w:rsid w:val="003A37A6"/>
    <w:rsid w:val="003C21D0"/>
    <w:rsid w:val="003D566F"/>
    <w:rsid w:val="003E3D1A"/>
    <w:rsid w:val="003E6822"/>
    <w:rsid w:val="003F5E83"/>
    <w:rsid w:val="00402249"/>
    <w:rsid w:val="00402BC3"/>
    <w:rsid w:val="00402DB6"/>
    <w:rsid w:val="004157EA"/>
    <w:rsid w:val="0041582F"/>
    <w:rsid w:val="00431264"/>
    <w:rsid w:val="004335DF"/>
    <w:rsid w:val="004428BF"/>
    <w:rsid w:val="00442C53"/>
    <w:rsid w:val="004458B4"/>
    <w:rsid w:val="00452DE0"/>
    <w:rsid w:val="00456536"/>
    <w:rsid w:val="00456827"/>
    <w:rsid w:val="004568B1"/>
    <w:rsid w:val="00461498"/>
    <w:rsid w:val="004642F6"/>
    <w:rsid w:val="00497F99"/>
    <w:rsid w:val="004B0434"/>
    <w:rsid w:val="004C1741"/>
    <w:rsid w:val="004D533D"/>
    <w:rsid w:val="004D6B9D"/>
    <w:rsid w:val="004E3F1C"/>
    <w:rsid w:val="004E5D05"/>
    <w:rsid w:val="005075AA"/>
    <w:rsid w:val="005102AA"/>
    <w:rsid w:val="00526AA4"/>
    <w:rsid w:val="00535A8F"/>
    <w:rsid w:val="00537326"/>
    <w:rsid w:val="00543B71"/>
    <w:rsid w:val="00545FB6"/>
    <w:rsid w:val="00546612"/>
    <w:rsid w:val="005509B9"/>
    <w:rsid w:val="00552113"/>
    <w:rsid w:val="005550DB"/>
    <w:rsid w:val="005574E9"/>
    <w:rsid w:val="00582432"/>
    <w:rsid w:val="005826E6"/>
    <w:rsid w:val="005900B8"/>
    <w:rsid w:val="005A0E31"/>
    <w:rsid w:val="005C06B2"/>
    <w:rsid w:val="005C3C64"/>
    <w:rsid w:val="005C468B"/>
    <w:rsid w:val="005D4AAD"/>
    <w:rsid w:val="005D6DC3"/>
    <w:rsid w:val="005E3285"/>
    <w:rsid w:val="005F430C"/>
    <w:rsid w:val="005F6066"/>
    <w:rsid w:val="00603723"/>
    <w:rsid w:val="00607D82"/>
    <w:rsid w:val="0061772F"/>
    <w:rsid w:val="00626885"/>
    <w:rsid w:val="00630EF4"/>
    <w:rsid w:val="006327C4"/>
    <w:rsid w:val="006370DF"/>
    <w:rsid w:val="00661858"/>
    <w:rsid w:val="006755E7"/>
    <w:rsid w:val="00686D12"/>
    <w:rsid w:val="00691398"/>
    <w:rsid w:val="00691D18"/>
    <w:rsid w:val="00697CBA"/>
    <w:rsid w:val="006A3533"/>
    <w:rsid w:val="006A38F4"/>
    <w:rsid w:val="006A4D85"/>
    <w:rsid w:val="006C7A5E"/>
    <w:rsid w:val="006D65C6"/>
    <w:rsid w:val="006E72FF"/>
    <w:rsid w:val="006E76E8"/>
    <w:rsid w:val="006F5F88"/>
    <w:rsid w:val="007010E8"/>
    <w:rsid w:val="0070237F"/>
    <w:rsid w:val="00707CE1"/>
    <w:rsid w:val="00713EDB"/>
    <w:rsid w:val="00716492"/>
    <w:rsid w:val="00727309"/>
    <w:rsid w:val="007274E0"/>
    <w:rsid w:val="007340E2"/>
    <w:rsid w:val="00735C5A"/>
    <w:rsid w:val="00741592"/>
    <w:rsid w:val="00743DAB"/>
    <w:rsid w:val="007462C6"/>
    <w:rsid w:val="0076101B"/>
    <w:rsid w:val="0076208B"/>
    <w:rsid w:val="00765AAE"/>
    <w:rsid w:val="00782F15"/>
    <w:rsid w:val="00784B4B"/>
    <w:rsid w:val="007908EE"/>
    <w:rsid w:val="007A1A8F"/>
    <w:rsid w:val="007A6B38"/>
    <w:rsid w:val="007A7E72"/>
    <w:rsid w:val="007A7FA3"/>
    <w:rsid w:val="007B5497"/>
    <w:rsid w:val="007C6EE6"/>
    <w:rsid w:val="007D1101"/>
    <w:rsid w:val="007E2B13"/>
    <w:rsid w:val="007E655C"/>
    <w:rsid w:val="007E7966"/>
    <w:rsid w:val="007F5446"/>
    <w:rsid w:val="007F7D93"/>
    <w:rsid w:val="008135C9"/>
    <w:rsid w:val="008169A8"/>
    <w:rsid w:val="00831202"/>
    <w:rsid w:val="008340C6"/>
    <w:rsid w:val="00836803"/>
    <w:rsid w:val="0083730C"/>
    <w:rsid w:val="008508B7"/>
    <w:rsid w:val="00852318"/>
    <w:rsid w:val="00852479"/>
    <w:rsid w:val="00852C77"/>
    <w:rsid w:val="008537AE"/>
    <w:rsid w:val="008605C7"/>
    <w:rsid w:val="00864519"/>
    <w:rsid w:val="00865BD5"/>
    <w:rsid w:val="00871394"/>
    <w:rsid w:val="008754D0"/>
    <w:rsid w:val="00881F06"/>
    <w:rsid w:val="008824F7"/>
    <w:rsid w:val="008958D6"/>
    <w:rsid w:val="008A0203"/>
    <w:rsid w:val="008A1817"/>
    <w:rsid w:val="008A20D8"/>
    <w:rsid w:val="008B0E74"/>
    <w:rsid w:val="008B5960"/>
    <w:rsid w:val="008D13E3"/>
    <w:rsid w:val="008D246E"/>
    <w:rsid w:val="008D5378"/>
    <w:rsid w:val="008E2E15"/>
    <w:rsid w:val="008E5784"/>
    <w:rsid w:val="008E6DF1"/>
    <w:rsid w:val="0090230D"/>
    <w:rsid w:val="0091781F"/>
    <w:rsid w:val="00932C45"/>
    <w:rsid w:val="00934421"/>
    <w:rsid w:val="00943C02"/>
    <w:rsid w:val="009451DD"/>
    <w:rsid w:val="009464EB"/>
    <w:rsid w:val="00960ED0"/>
    <w:rsid w:val="0096194A"/>
    <w:rsid w:val="00962446"/>
    <w:rsid w:val="00970C4E"/>
    <w:rsid w:val="00972F16"/>
    <w:rsid w:val="00981D72"/>
    <w:rsid w:val="00986427"/>
    <w:rsid w:val="00987737"/>
    <w:rsid w:val="009907A6"/>
    <w:rsid w:val="009936E3"/>
    <w:rsid w:val="00993881"/>
    <w:rsid w:val="00995478"/>
    <w:rsid w:val="00997188"/>
    <w:rsid w:val="009A6DCD"/>
    <w:rsid w:val="009C6FF6"/>
    <w:rsid w:val="009D23A9"/>
    <w:rsid w:val="009D4C88"/>
    <w:rsid w:val="009E51A7"/>
    <w:rsid w:val="009E5FB2"/>
    <w:rsid w:val="00A068AF"/>
    <w:rsid w:val="00A2053D"/>
    <w:rsid w:val="00A2307F"/>
    <w:rsid w:val="00A260F2"/>
    <w:rsid w:val="00A27148"/>
    <w:rsid w:val="00A32F62"/>
    <w:rsid w:val="00A331EF"/>
    <w:rsid w:val="00A43B84"/>
    <w:rsid w:val="00A643FA"/>
    <w:rsid w:val="00A80C3F"/>
    <w:rsid w:val="00A84C6E"/>
    <w:rsid w:val="00A9401F"/>
    <w:rsid w:val="00AA43C2"/>
    <w:rsid w:val="00AC2628"/>
    <w:rsid w:val="00AD0CD5"/>
    <w:rsid w:val="00AD1478"/>
    <w:rsid w:val="00AE258E"/>
    <w:rsid w:val="00AE2CEB"/>
    <w:rsid w:val="00AF7662"/>
    <w:rsid w:val="00B05042"/>
    <w:rsid w:val="00B23A8A"/>
    <w:rsid w:val="00B3741A"/>
    <w:rsid w:val="00B530E0"/>
    <w:rsid w:val="00B6689E"/>
    <w:rsid w:val="00B70068"/>
    <w:rsid w:val="00B711A8"/>
    <w:rsid w:val="00B75CB1"/>
    <w:rsid w:val="00B84B89"/>
    <w:rsid w:val="00B8671F"/>
    <w:rsid w:val="00B90A9C"/>
    <w:rsid w:val="00BA204C"/>
    <w:rsid w:val="00BA317A"/>
    <w:rsid w:val="00BA66E5"/>
    <w:rsid w:val="00BB3EDB"/>
    <w:rsid w:val="00BC253C"/>
    <w:rsid w:val="00BC707F"/>
    <w:rsid w:val="00BD09B8"/>
    <w:rsid w:val="00BE6672"/>
    <w:rsid w:val="00BF4344"/>
    <w:rsid w:val="00C028B0"/>
    <w:rsid w:val="00C11A35"/>
    <w:rsid w:val="00C1668E"/>
    <w:rsid w:val="00C205EE"/>
    <w:rsid w:val="00C21269"/>
    <w:rsid w:val="00C2412E"/>
    <w:rsid w:val="00C2551E"/>
    <w:rsid w:val="00C26F9E"/>
    <w:rsid w:val="00C27B69"/>
    <w:rsid w:val="00C27DF7"/>
    <w:rsid w:val="00C33783"/>
    <w:rsid w:val="00C55F6E"/>
    <w:rsid w:val="00C607FD"/>
    <w:rsid w:val="00C6209A"/>
    <w:rsid w:val="00C73212"/>
    <w:rsid w:val="00C73F95"/>
    <w:rsid w:val="00C77D13"/>
    <w:rsid w:val="00CA00A0"/>
    <w:rsid w:val="00CC2067"/>
    <w:rsid w:val="00CC31D3"/>
    <w:rsid w:val="00CD4ED5"/>
    <w:rsid w:val="00CD5EB5"/>
    <w:rsid w:val="00CE70D0"/>
    <w:rsid w:val="00CF717B"/>
    <w:rsid w:val="00D03FEC"/>
    <w:rsid w:val="00D06849"/>
    <w:rsid w:val="00D16230"/>
    <w:rsid w:val="00D2282D"/>
    <w:rsid w:val="00D3762E"/>
    <w:rsid w:val="00D46C18"/>
    <w:rsid w:val="00D54939"/>
    <w:rsid w:val="00D63538"/>
    <w:rsid w:val="00D71E1E"/>
    <w:rsid w:val="00D76224"/>
    <w:rsid w:val="00D86BBC"/>
    <w:rsid w:val="00D901B3"/>
    <w:rsid w:val="00D927C6"/>
    <w:rsid w:val="00DA46DF"/>
    <w:rsid w:val="00DA57DA"/>
    <w:rsid w:val="00DB3781"/>
    <w:rsid w:val="00DD661E"/>
    <w:rsid w:val="00DE0D63"/>
    <w:rsid w:val="00DE7B70"/>
    <w:rsid w:val="00E0736A"/>
    <w:rsid w:val="00E12B81"/>
    <w:rsid w:val="00E171AC"/>
    <w:rsid w:val="00E2569C"/>
    <w:rsid w:val="00E309CC"/>
    <w:rsid w:val="00E41841"/>
    <w:rsid w:val="00E53FF7"/>
    <w:rsid w:val="00E57456"/>
    <w:rsid w:val="00E57D0B"/>
    <w:rsid w:val="00E70FE1"/>
    <w:rsid w:val="00E808C3"/>
    <w:rsid w:val="00E82612"/>
    <w:rsid w:val="00E838CE"/>
    <w:rsid w:val="00E87FC4"/>
    <w:rsid w:val="00EA0814"/>
    <w:rsid w:val="00EA677B"/>
    <w:rsid w:val="00EB156F"/>
    <w:rsid w:val="00EB1DDA"/>
    <w:rsid w:val="00EB3F53"/>
    <w:rsid w:val="00EB7ED7"/>
    <w:rsid w:val="00EE5348"/>
    <w:rsid w:val="00F010B8"/>
    <w:rsid w:val="00F01DB2"/>
    <w:rsid w:val="00F05D59"/>
    <w:rsid w:val="00F07832"/>
    <w:rsid w:val="00F227C6"/>
    <w:rsid w:val="00F371BD"/>
    <w:rsid w:val="00F43138"/>
    <w:rsid w:val="00F43199"/>
    <w:rsid w:val="00F4333E"/>
    <w:rsid w:val="00F57553"/>
    <w:rsid w:val="00F80B6F"/>
    <w:rsid w:val="00F80E18"/>
    <w:rsid w:val="00FA620B"/>
    <w:rsid w:val="00FA7C8E"/>
    <w:rsid w:val="00FB1B51"/>
    <w:rsid w:val="00FB7760"/>
    <w:rsid w:val="00FC447B"/>
    <w:rsid w:val="00FD1932"/>
    <w:rsid w:val="00FE2DED"/>
    <w:rsid w:val="00FE54C7"/>
    <w:rsid w:val="00FE6F6B"/>
    <w:rsid w:val="00FF3366"/>
    <w:rsid w:val="00FF56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805878"/>
  <w15:docId w15:val="{60370039-836D-46EB-8C99-7412D85F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EF4"/>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rsid w:val="00224818"/>
    <w:pPr>
      <w:keepNext/>
      <w:widowControl w:val="0"/>
      <w:spacing w:after="360" w:line="360" w:lineRule="exact"/>
      <w:outlineLvl w:val="0"/>
    </w:pPr>
    <w:rPr>
      <w:rFonts w:ascii="Times New Roman" w:hAnsi="Times New Roman"/>
      <w:sz w:val="36"/>
      <w:szCs w:val="24"/>
      <w:lang w:eastAsia="en-US" w:bidi="he-IL"/>
    </w:rPr>
  </w:style>
  <w:style w:type="paragraph" w:styleId="Heading2">
    <w:name w:val="heading 2"/>
    <w:next w:val="Normal"/>
    <w:link w:val="Heading2Char"/>
    <w:uiPriority w:val="9"/>
    <w:unhideWhenUsed/>
    <w:qFormat/>
    <w:rsid w:val="00626885"/>
    <w:pPr>
      <w:keepNext/>
      <w:spacing w:before="240" w:after="120" w:line="300" w:lineRule="exact"/>
      <w:outlineLvl w:val="1"/>
    </w:pPr>
    <w:rPr>
      <w:rFonts w:ascii="Times New Roman" w:hAnsi="Times New Roman" w:cs="Times New Roman"/>
      <w:bCs/>
      <w:sz w:val="26"/>
      <w:szCs w:val="24"/>
      <w:lang w:eastAsia="en-US" w:bidi="he-IL"/>
    </w:rPr>
  </w:style>
  <w:style w:type="paragraph" w:styleId="Heading3">
    <w:name w:val="heading 3"/>
    <w:next w:val="Normal"/>
    <w:link w:val="Heading3Char"/>
    <w:uiPriority w:val="9"/>
    <w:unhideWhenUsed/>
    <w:qFormat/>
    <w:rsid w:val="008A0203"/>
    <w:pPr>
      <w:keepNext/>
      <w:keepLines/>
      <w:widowControl w:val="0"/>
      <w:spacing w:after="120" w:line="260" w:lineRule="exact"/>
      <w:outlineLvl w:val="2"/>
    </w:pPr>
    <w:rPr>
      <w:rFonts w:ascii="Times New Roman" w:hAnsi="Times New Roman" w:cs="Times New Roman"/>
      <w:b/>
      <w:bCs/>
      <w:color w:val="000000"/>
      <w:sz w:val="22"/>
      <w:szCs w:val="24"/>
      <w:lang w:eastAsia="en-US" w:bidi="he-IL"/>
    </w:rPr>
  </w:style>
  <w:style w:type="paragraph" w:styleId="Heading4">
    <w:name w:val="heading 4"/>
    <w:next w:val="Normal"/>
    <w:link w:val="Heading4Char"/>
    <w:uiPriority w:val="9"/>
    <w:unhideWhenUsed/>
    <w:qFormat/>
    <w:rsid w:val="00D06849"/>
    <w:pPr>
      <w:keepNext/>
      <w:keepLines/>
      <w:widowControl w:val="0"/>
      <w:spacing w:after="120" w:line="260" w:lineRule="exact"/>
      <w:outlineLvl w:val="3"/>
    </w:pPr>
    <w:rPr>
      <w:rFonts w:ascii="Times New Roman" w:hAnsi="Times New Roman"/>
      <w:bCs/>
      <w:i/>
      <w:sz w:val="22"/>
      <w:szCs w:val="28"/>
      <w:lang w:eastAsia="en-US" w:bidi="he-IL"/>
    </w:rPr>
  </w:style>
  <w:style w:type="paragraph" w:styleId="Heading5">
    <w:name w:val="heading 5"/>
    <w:next w:val="Normal"/>
    <w:link w:val="Heading5Char"/>
    <w:uiPriority w:val="9"/>
    <w:unhideWhenUsed/>
    <w:qFormat/>
    <w:rsid w:val="00626885"/>
    <w:pPr>
      <w:keepNext/>
      <w:keepLines/>
      <w:spacing w:after="120" w:line="240" w:lineRule="exact"/>
      <w:ind w:left="340"/>
      <w:outlineLvl w:val="4"/>
    </w:pPr>
    <w:rPr>
      <w:rFonts w:ascii="Times New Roman" w:eastAsiaTheme="majorEastAsia" w:hAnsi="Times New Roman" w:cstheme="majorBidi"/>
      <w:sz w:val="22"/>
      <w:szCs w:val="24"/>
      <w:lang w:eastAsia="en-US" w:bidi="he-IL"/>
    </w:rPr>
  </w:style>
  <w:style w:type="paragraph" w:styleId="Heading6">
    <w:name w:val="heading 6"/>
    <w:basedOn w:val="Normal"/>
    <w:next w:val="Normal"/>
    <w:link w:val="Heading6Char"/>
    <w:uiPriority w:val="9"/>
    <w:qFormat/>
    <w:rsid w:val="0096194A"/>
    <w:pPr>
      <w:keepNext/>
      <w:keepLines/>
      <w:spacing w:before="40" w:after="0" w:line="240" w:lineRule="auto"/>
      <w:outlineLvl w:val="5"/>
    </w:pPr>
    <w:rPr>
      <w:rFonts w:ascii="Times New Roman" w:eastAsia="Times New Roman" w:hAnsi="Times New Roman" w:cs="Times New Roman"/>
      <w:b/>
      <w:bCs/>
      <w:color w:val="1F3763"/>
      <w:sz w:val="16"/>
      <w:szCs w:val="1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link w:val="FootnoteChar"/>
    <w:qFormat/>
    <w:rsid w:val="00995478"/>
    <w:pPr>
      <w:spacing w:line="220" w:lineRule="exact"/>
      <w:ind w:left="454" w:hanging="454"/>
      <w:jc w:val="both"/>
    </w:pPr>
    <w:rPr>
      <w:rFonts w:ascii="Times New Roman" w:hAnsi="Times New Roman" w:cs="Times New Roman"/>
      <w:sz w:val="18"/>
      <w:lang w:eastAsia="en-US" w:bidi="he-IL"/>
    </w:rPr>
  </w:style>
  <w:style w:type="paragraph" w:customStyle="1" w:styleId="Reference">
    <w:name w:val="Reference"/>
    <w:link w:val="ReferenceChar"/>
    <w:qFormat/>
    <w:rsid w:val="001150B8"/>
    <w:pPr>
      <w:keepLines/>
      <w:autoSpaceDE w:val="0"/>
      <w:autoSpaceDN w:val="0"/>
      <w:adjustRightInd w:val="0"/>
      <w:spacing w:line="240" w:lineRule="exact"/>
      <w:ind w:left="340" w:hanging="340"/>
      <w:contextualSpacing/>
    </w:pPr>
    <w:rPr>
      <w:rFonts w:ascii="Times New Roman" w:eastAsia="Calibri" w:hAnsi="Times New Roman" w:cs="Times New Roman"/>
      <w:szCs w:val="18"/>
      <w:lang w:eastAsia="en-US" w:bidi="he-IL"/>
    </w:rPr>
  </w:style>
  <w:style w:type="character" w:customStyle="1" w:styleId="Heading1Char">
    <w:name w:val="Heading 1 Char"/>
    <w:link w:val="Heading1"/>
    <w:uiPriority w:val="9"/>
    <w:rsid w:val="00224818"/>
    <w:rPr>
      <w:rFonts w:ascii="Times New Roman" w:hAnsi="Times New Roman"/>
      <w:sz w:val="36"/>
      <w:szCs w:val="24"/>
      <w:lang w:eastAsia="en-US" w:bidi="he-IL"/>
    </w:rPr>
  </w:style>
  <w:style w:type="character" w:customStyle="1" w:styleId="ReferenceChar">
    <w:name w:val="Reference Char"/>
    <w:link w:val="Reference"/>
    <w:rsid w:val="001150B8"/>
    <w:rPr>
      <w:rFonts w:ascii="Times New Roman" w:eastAsia="Calibri" w:hAnsi="Times New Roman" w:cs="Times New Roman"/>
      <w:szCs w:val="18"/>
      <w:lang w:eastAsia="en-US" w:bidi="he-IL"/>
    </w:rPr>
  </w:style>
  <w:style w:type="character" w:customStyle="1" w:styleId="Heading2Char">
    <w:name w:val="Heading 2 Char"/>
    <w:link w:val="Heading2"/>
    <w:uiPriority w:val="9"/>
    <w:rsid w:val="00626885"/>
    <w:rPr>
      <w:rFonts w:ascii="Times New Roman" w:hAnsi="Times New Roman" w:cs="Times New Roman"/>
      <w:bCs/>
      <w:sz w:val="26"/>
      <w:szCs w:val="24"/>
      <w:lang w:eastAsia="en-US" w:bidi="he-IL"/>
    </w:rPr>
  </w:style>
  <w:style w:type="character" w:styleId="FootnoteReference">
    <w:name w:val="footnote reference"/>
    <w:uiPriority w:val="99"/>
    <w:semiHidden/>
    <w:unhideWhenUsed/>
    <w:rsid w:val="00546612"/>
    <w:rPr>
      <w:vertAlign w:val="superscript"/>
    </w:rPr>
  </w:style>
  <w:style w:type="paragraph" w:styleId="BalloonText">
    <w:name w:val="Balloon Text"/>
    <w:basedOn w:val="Normal"/>
    <w:link w:val="BalloonTextChar"/>
    <w:uiPriority w:val="99"/>
    <w:semiHidden/>
    <w:unhideWhenUsed/>
    <w:rsid w:val="00546612"/>
    <w:rPr>
      <w:rFonts w:ascii="Tahoma" w:hAnsi="Tahoma" w:cs="Tahoma"/>
      <w:sz w:val="16"/>
      <w:szCs w:val="16"/>
    </w:rPr>
  </w:style>
  <w:style w:type="character" w:customStyle="1" w:styleId="BalloonTextChar">
    <w:name w:val="Balloon Text Char"/>
    <w:link w:val="BalloonText"/>
    <w:uiPriority w:val="99"/>
    <w:semiHidden/>
    <w:rsid w:val="00546612"/>
    <w:rPr>
      <w:rFonts w:ascii="Tahoma" w:hAnsi="Tahoma" w:cs="Tahoma"/>
      <w:sz w:val="16"/>
      <w:szCs w:val="16"/>
    </w:rPr>
  </w:style>
  <w:style w:type="character" w:customStyle="1" w:styleId="Heading3Char">
    <w:name w:val="Heading 3 Char"/>
    <w:link w:val="Heading3"/>
    <w:uiPriority w:val="9"/>
    <w:rsid w:val="008A0203"/>
    <w:rPr>
      <w:rFonts w:ascii="Times New Roman" w:hAnsi="Times New Roman" w:cs="Times New Roman"/>
      <w:b/>
      <w:bCs/>
      <w:color w:val="000000"/>
      <w:sz w:val="22"/>
      <w:szCs w:val="24"/>
      <w:lang w:eastAsia="en-US" w:bidi="he-IL"/>
    </w:rPr>
  </w:style>
  <w:style w:type="paragraph" w:styleId="Quote">
    <w:name w:val="Quote"/>
    <w:next w:val="BodyText"/>
    <w:link w:val="QuoteChar"/>
    <w:qFormat/>
    <w:rsid w:val="004568B1"/>
    <w:pPr>
      <w:spacing w:after="240" w:line="240" w:lineRule="exact"/>
      <w:ind w:left="340" w:right="340"/>
      <w:jc w:val="both"/>
    </w:pPr>
    <w:rPr>
      <w:rFonts w:ascii="Times New Roman" w:hAnsi="Times New Roman" w:cs="Times New Roman"/>
      <w:iCs/>
      <w:color w:val="000000"/>
      <w:szCs w:val="24"/>
      <w:lang w:eastAsia="en-US" w:bidi="he-IL"/>
    </w:rPr>
  </w:style>
  <w:style w:type="character" w:customStyle="1" w:styleId="QuoteChar">
    <w:name w:val="Quote Char"/>
    <w:link w:val="Quote"/>
    <w:rsid w:val="00995478"/>
    <w:rPr>
      <w:rFonts w:ascii="Times New Roman" w:hAnsi="Times New Roman" w:cs="Times New Roman"/>
      <w:iCs/>
      <w:color w:val="000000"/>
      <w:szCs w:val="24"/>
      <w:lang w:eastAsia="en-US" w:bidi="he-IL"/>
    </w:rPr>
  </w:style>
  <w:style w:type="character" w:customStyle="1" w:styleId="Heading4Char">
    <w:name w:val="Heading 4 Char"/>
    <w:link w:val="Heading4"/>
    <w:uiPriority w:val="9"/>
    <w:rsid w:val="00D06849"/>
    <w:rPr>
      <w:rFonts w:ascii="Times New Roman" w:hAnsi="Times New Roman"/>
      <w:bCs/>
      <w:i/>
      <w:sz w:val="22"/>
      <w:szCs w:val="28"/>
      <w:lang w:eastAsia="en-US" w:bidi="he-IL"/>
    </w:rPr>
  </w:style>
  <w:style w:type="paragraph" w:customStyle="1" w:styleId="Abstract">
    <w:name w:val="Abstract"/>
    <w:link w:val="AbstractChar"/>
    <w:qFormat/>
    <w:rsid w:val="00A331EF"/>
    <w:pPr>
      <w:spacing w:after="240"/>
      <w:ind w:left="346" w:right="346"/>
      <w:contextualSpacing/>
      <w:jc w:val="both"/>
    </w:pPr>
    <w:rPr>
      <w:rFonts w:ascii="Times New Roman" w:eastAsia="Calibri" w:hAnsi="Times New Roman" w:cs="Times New Roman"/>
      <w:sz w:val="22"/>
      <w:szCs w:val="24"/>
      <w:lang w:eastAsia="en-US" w:bidi="he-IL"/>
    </w:rPr>
  </w:style>
  <w:style w:type="paragraph" w:styleId="FootnoteText">
    <w:name w:val="footnote text"/>
    <w:basedOn w:val="Normal"/>
    <w:link w:val="FootnoteTextChar"/>
    <w:uiPriority w:val="99"/>
    <w:unhideWhenUsed/>
    <w:qFormat/>
    <w:rsid w:val="008B0E74"/>
    <w:rPr>
      <w:sz w:val="20"/>
      <w:szCs w:val="20"/>
    </w:rPr>
  </w:style>
  <w:style w:type="character" w:customStyle="1" w:styleId="AbstractChar">
    <w:name w:val="Abstract Char"/>
    <w:basedOn w:val="DefaultParagraphFont"/>
    <w:link w:val="Abstract"/>
    <w:rsid w:val="00A331EF"/>
    <w:rPr>
      <w:rFonts w:ascii="Times New Roman" w:eastAsia="Calibri" w:hAnsi="Times New Roman" w:cs="Times New Roman"/>
      <w:sz w:val="22"/>
      <w:szCs w:val="24"/>
      <w:lang w:eastAsia="en-US" w:bidi="he-IL"/>
    </w:rPr>
  </w:style>
  <w:style w:type="character" w:customStyle="1" w:styleId="FootnoteTextChar">
    <w:name w:val="Footnote Text Char"/>
    <w:basedOn w:val="DefaultParagraphFont"/>
    <w:link w:val="FootnoteText"/>
    <w:uiPriority w:val="99"/>
    <w:rsid w:val="008B0E74"/>
    <w:rPr>
      <w:rFonts w:ascii="Times New Roman" w:hAnsi="Times New Roman" w:cs="Times New Roman"/>
      <w:lang w:eastAsia="en-US" w:bidi="he-IL"/>
    </w:rPr>
  </w:style>
  <w:style w:type="character" w:customStyle="1" w:styleId="FootnoteChar">
    <w:name w:val="Footnote Char"/>
    <w:basedOn w:val="FootnoteTextChar"/>
    <w:link w:val="Footnote"/>
    <w:rsid w:val="00995478"/>
    <w:rPr>
      <w:rFonts w:ascii="Times New Roman" w:hAnsi="Times New Roman" w:cs="Times New Roman"/>
      <w:sz w:val="18"/>
      <w:lang w:eastAsia="en-US" w:bidi="he-IL"/>
    </w:rPr>
  </w:style>
  <w:style w:type="character" w:styleId="LineNumber">
    <w:name w:val="line number"/>
    <w:basedOn w:val="DefaultParagraphFont"/>
    <w:uiPriority w:val="99"/>
    <w:semiHidden/>
    <w:unhideWhenUsed/>
    <w:rsid w:val="00A27148"/>
  </w:style>
  <w:style w:type="paragraph" w:customStyle="1" w:styleId="Authordetails">
    <w:name w:val="Author details"/>
    <w:qFormat/>
    <w:rsid w:val="00FF56FC"/>
    <w:pPr>
      <w:widowControl w:val="0"/>
      <w:spacing w:after="240"/>
      <w:contextualSpacing/>
    </w:pPr>
    <w:rPr>
      <w:rFonts w:ascii="Times New Roman" w:eastAsia="Calibri" w:hAnsi="Times New Roman" w:cs="Times New Roman"/>
      <w:sz w:val="22"/>
      <w:szCs w:val="24"/>
      <w:lang w:eastAsia="en-US" w:bidi="he-IL"/>
    </w:rPr>
  </w:style>
  <w:style w:type="paragraph" w:customStyle="1" w:styleId="Keywords">
    <w:name w:val="Keywords"/>
    <w:qFormat/>
    <w:rsid w:val="00C21269"/>
    <w:pPr>
      <w:widowControl w:val="0"/>
      <w:ind w:left="1077" w:hanging="1077"/>
    </w:pPr>
    <w:rPr>
      <w:rFonts w:ascii="Times New Roman" w:eastAsia="Calibri" w:hAnsi="Times New Roman" w:cs="Times New Roman"/>
      <w:sz w:val="22"/>
      <w:szCs w:val="24"/>
      <w:lang w:eastAsia="en-US" w:bidi="he-IL"/>
    </w:rPr>
  </w:style>
  <w:style w:type="paragraph" w:customStyle="1" w:styleId="TableHeading">
    <w:name w:val="Table Heading"/>
    <w:qFormat/>
    <w:rsid w:val="00F43199"/>
    <w:pPr>
      <w:keepNext/>
      <w:keepLines/>
      <w:widowControl w:val="0"/>
      <w:spacing w:after="240" w:line="260" w:lineRule="exact"/>
      <w:contextualSpacing/>
    </w:pPr>
    <w:rPr>
      <w:rFonts w:ascii="Times New Roman" w:eastAsia="Calibri" w:hAnsi="Times New Roman" w:cs="Times New Roman"/>
      <w:sz w:val="22"/>
      <w:szCs w:val="24"/>
      <w:lang w:val="nl-NL" w:eastAsia="en-US" w:bidi="he-IL"/>
    </w:rPr>
  </w:style>
  <w:style w:type="paragraph" w:customStyle="1" w:styleId="FigureorPictureCaption">
    <w:name w:val="Figure or Picture Caption"/>
    <w:next w:val="Normal"/>
    <w:qFormat/>
    <w:rsid w:val="00224818"/>
    <w:pPr>
      <w:keepLines/>
      <w:spacing w:after="240" w:line="260" w:lineRule="exact"/>
      <w:contextualSpacing/>
    </w:pPr>
    <w:rPr>
      <w:rFonts w:ascii="Times New Roman" w:eastAsia="Calibri" w:hAnsi="Times New Roman" w:cs="Times New Roman"/>
      <w:sz w:val="22"/>
      <w:szCs w:val="24"/>
      <w:lang w:eastAsia="en-US" w:bidi="he-IL"/>
    </w:rPr>
  </w:style>
  <w:style w:type="character" w:customStyle="1" w:styleId="Heading5Char">
    <w:name w:val="Heading 5 Char"/>
    <w:basedOn w:val="DefaultParagraphFont"/>
    <w:link w:val="Heading5"/>
    <w:uiPriority w:val="9"/>
    <w:rsid w:val="00626885"/>
    <w:rPr>
      <w:rFonts w:ascii="Times New Roman" w:eastAsiaTheme="majorEastAsia" w:hAnsi="Times New Roman" w:cstheme="majorBidi"/>
      <w:sz w:val="22"/>
      <w:szCs w:val="24"/>
      <w:lang w:eastAsia="en-US" w:bidi="he-IL"/>
    </w:rPr>
  </w:style>
  <w:style w:type="paragraph" w:customStyle="1" w:styleId="TableColHead">
    <w:name w:val="Table Col Head"/>
    <w:qFormat/>
    <w:rsid w:val="00224818"/>
    <w:pPr>
      <w:widowControl w:val="0"/>
      <w:spacing w:line="240" w:lineRule="exact"/>
    </w:pPr>
    <w:rPr>
      <w:rFonts w:ascii="Times New Roman" w:eastAsia="Calibri" w:hAnsi="Times New Roman" w:cs="Times New Roman"/>
      <w:b/>
      <w:szCs w:val="24"/>
      <w:lang w:val="en-US" w:eastAsia="en-US" w:bidi="he-IL"/>
    </w:rPr>
  </w:style>
  <w:style w:type="paragraph" w:customStyle="1" w:styleId="TableNote">
    <w:name w:val="Table Note"/>
    <w:qFormat/>
    <w:rsid w:val="00224818"/>
    <w:pPr>
      <w:keepLines/>
      <w:spacing w:before="120" w:after="240" w:line="240" w:lineRule="exact"/>
    </w:pPr>
    <w:rPr>
      <w:rFonts w:ascii="Times New Roman" w:eastAsia="Calibri" w:hAnsi="Times New Roman" w:cs="Times New Roman"/>
      <w:szCs w:val="24"/>
      <w:lang w:val="en-US" w:eastAsia="en-US" w:bidi="he-IL"/>
    </w:rPr>
  </w:style>
  <w:style w:type="paragraph" w:styleId="Header">
    <w:name w:val="header"/>
    <w:link w:val="HeaderChar"/>
    <w:uiPriority w:val="99"/>
    <w:unhideWhenUsed/>
    <w:rsid w:val="00224818"/>
    <w:pPr>
      <w:tabs>
        <w:tab w:val="center" w:pos="4680"/>
        <w:tab w:val="right" w:pos="9360"/>
      </w:tabs>
      <w:jc w:val="right"/>
    </w:pPr>
    <w:rPr>
      <w:rFonts w:ascii="Times New Roman" w:hAnsi="Times New Roman" w:cs="Times New Roman"/>
      <w:sz w:val="22"/>
      <w:szCs w:val="24"/>
      <w:lang w:eastAsia="en-US" w:bidi="he-IL"/>
    </w:rPr>
  </w:style>
  <w:style w:type="character" w:customStyle="1" w:styleId="HeaderChar">
    <w:name w:val="Header Char"/>
    <w:basedOn w:val="DefaultParagraphFont"/>
    <w:link w:val="Header"/>
    <w:uiPriority w:val="99"/>
    <w:rsid w:val="00224818"/>
    <w:rPr>
      <w:rFonts w:ascii="Times New Roman" w:hAnsi="Times New Roman" w:cs="Times New Roman"/>
      <w:sz w:val="22"/>
      <w:szCs w:val="24"/>
      <w:lang w:eastAsia="en-US" w:bidi="he-IL"/>
    </w:rPr>
  </w:style>
  <w:style w:type="paragraph" w:styleId="Footer">
    <w:name w:val="footer"/>
    <w:basedOn w:val="Normal"/>
    <w:link w:val="FooterChar"/>
    <w:uiPriority w:val="99"/>
    <w:unhideWhenUsed/>
    <w:rsid w:val="00D0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849"/>
    <w:rPr>
      <w:rFonts w:ascii="Times New Roman" w:hAnsi="Times New Roman" w:cs="Times New Roman"/>
      <w:sz w:val="22"/>
      <w:szCs w:val="24"/>
      <w:lang w:eastAsia="en-US" w:bidi="he-IL"/>
    </w:rPr>
  </w:style>
  <w:style w:type="paragraph" w:customStyle="1" w:styleId="PageNumberp2">
    <w:name w:val="Page Number p2"/>
    <w:qFormat/>
    <w:rsid w:val="00526AA4"/>
    <w:pPr>
      <w:widowControl w:val="0"/>
      <w:spacing w:before="120"/>
      <w:jc w:val="center"/>
    </w:pPr>
    <w:rPr>
      <w:rFonts w:ascii="Times New Roman" w:hAnsi="Times New Roman" w:cs="Times New Roman"/>
      <w:szCs w:val="24"/>
      <w:lang w:eastAsia="en-US" w:bidi="he-IL"/>
    </w:rPr>
  </w:style>
  <w:style w:type="paragraph" w:customStyle="1" w:styleId="FirstPageMetadata">
    <w:name w:val="First Page Metadata"/>
    <w:qFormat/>
    <w:rsid w:val="00713EDB"/>
    <w:pPr>
      <w:widowControl w:val="0"/>
      <w:shd w:val="clear" w:color="auto" w:fill="FFFFFF"/>
    </w:pPr>
    <w:rPr>
      <w:rFonts w:ascii="Times New Roman" w:hAnsi="Times New Roman" w:cs="Times New Roman"/>
      <w:sz w:val="16"/>
      <w:szCs w:val="16"/>
      <w:lang w:val="en-US" w:eastAsia="en-US"/>
    </w:rPr>
  </w:style>
  <w:style w:type="paragraph" w:customStyle="1" w:styleId="TableText">
    <w:name w:val="Table Text"/>
    <w:qFormat/>
    <w:rsid w:val="00224818"/>
    <w:pPr>
      <w:keepNext/>
      <w:widowControl w:val="0"/>
    </w:pPr>
    <w:rPr>
      <w:rFonts w:ascii="Times New Roman" w:eastAsia="Calibri" w:hAnsi="Times New Roman" w:cs="Times New Roman"/>
      <w:szCs w:val="10"/>
      <w:lang w:val="en-US" w:eastAsia="en-US" w:bidi="he-IL"/>
    </w:rPr>
  </w:style>
  <w:style w:type="paragraph" w:customStyle="1" w:styleId="Listofitems">
    <w:name w:val="List of items"/>
    <w:basedOn w:val="Normal"/>
    <w:qFormat/>
    <w:rsid w:val="001D323B"/>
    <w:pPr>
      <w:spacing w:after="120" w:line="240" w:lineRule="auto"/>
    </w:pPr>
  </w:style>
  <w:style w:type="character" w:styleId="Hyperlink">
    <w:name w:val="Hyperlink"/>
    <w:basedOn w:val="DefaultParagraphFont"/>
    <w:uiPriority w:val="99"/>
    <w:unhideWhenUsed/>
    <w:rsid w:val="00221218"/>
    <w:rPr>
      <w:color w:val="auto"/>
      <w:u w:val="none"/>
    </w:rPr>
  </w:style>
  <w:style w:type="paragraph" w:customStyle="1" w:styleId="Headerp2">
    <w:name w:val="Header p2"/>
    <w:qFormat/>
    <w:rsid w:val="00402DB6"/>
    <w:pPr>
      <w:spacing w:line="264" w:lineRule="auto"/>
      <w:jc w:val="center"/>
    </w:pPr>
    <w:rPr>
      <w:rFonts w:ascii="Times New Roman" w:hAnsi="Times New Roman" w:cs="Times New Roman"/>
      <w:color w:val="7F7F7F" w:themeColor="text1" w:themeTint="80"/>
      <w:sz w:val="18"/>
      <w:lang w:eastAsia="en-US" w:bidi="he-IL"/>
    </w:rPr>
  </w:style>
  <w:style w:type="table" w:customStyle="1" w:styleId="TableGrid1">
    <w:name w:val="Table Grid1"/>
    <w:basedOn w:val="TableNormal"/>
    <w:next w:val="TableGrid"/>
    <w:uiPriority w:val="59"/>
    <w:rsid w:val="003F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4568B1"/>
    <w:pPr>
      <w:spacing w:after="240" w:line="260" w:lineRule="exact"/>
      <w:jc w:val="both"/>
    </w:pPr>
    <w:rPr>
      <w:rFonts w:ascii="Times New Roman" w:hAnsi="Times New Roman" w:cs="Times New Roman"/>
      <w:sz w:val="22"/>
      <w:szCs w:val="24"/>
      <w:lang w:eastAsia="en-US" w:bidi="he-IL"/>
    </w:rPr>
  </w:style>
  <w:style w:type="character" w:customStyle="1" w:styleId="BodyTextChar">
    <w:name w:val="Body Text Char"/>
    <w:basedOn w:val="DefaultParagraphFont"/>
    <w:link w:val="BodyText"/>
    <w:rsid w:val="004568B1"/>
    <w:rPr>
      <w:rFonts w:ascii="Times New Roman" w:hAnsi="Times New Roman" w:cs="Times New Roman"/>
      <w:sz w:val="22"/>
      <w:szCs w:val="24"/>
      <w:lang w:eastAsia="en-US" w:bidi="he-IL"/>
    </w:rPr>
  </w:style>
  <w:style w:type="paragraph" w:styleId="ListParagraph">
    <w:name w:val="List Paragraph"/>
    <w:basedOn w:val="Normal"/>
    <w:uiPriority w:val="34"/>
    <w:rsid w:val="00995478"/>
    <w:pPr>
      <w:numPr>
        <w:numId w:val="1"/>
      </w:numPr>
      <w:ind w:left="357" w:hanging="357"/>
      <w:contextualSpacing/>
    </w:pPr>
  </w:style>
  <w:style w:type="character" w:customStyle="1" w:styleId="FootnoteTextChar1">
    <w:name w:val="Footnote Text Char1"/>
    <w:basedOn w:val="DefaultParagraphFont"/>
    <w:uiPriority w:val="99"/>
    <w:semiHidden/>
    <w:rsid w:val="00630EF4"/>
    <w:rPr>
      <w:rFonts w:asciiTheme="minorHAnsi" w:eastAsiaTheme="minorHAnsi" w:hAnsiTheme="minorHAnsi" w:cstheme="minorBidi"/>
      <w:lang w:eastAsia="en-US"/>
    </w:rPr>
  </w:style>
  <w:style w:type="paragraph" w:styleId="CommentText">
    <w:name w:val="annotation text"/>
    <w:basedOn w:val="Normal"/>
    <w:link w:val="CommentTextChar"/>
    <w:uiPriority w:val="99"/>
    <w:unhideWhenUsed/>
    <w:rsid w:val="00630EF4"/>
    <w:pPr>
      <w:spacing w:line="240" w:lineRule="auto"/>
    </w:pPr>
    <w:rPr>
      <w:sz w:val="20"/>
      <w:szCs w:val="20"/>
    </w:rPr>
  </w:style>
  <w:style w:type="character" w:customStyle="1" w:styleId="CommentTextChar">
    <w:name w:val="Comment Text Char"/>
    <w:basedOn w:val="DefaultParagraphFont"/>
    <w:link w:val="CommentText"/>
    <w:uiPriority w:val="99"/>
    <w:rsid w:val="00630EF4"/>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rsid w:val="00630EF4"/>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iPriority w:val="99"/>
    <w:semiHidden/>
    <w:unhideWhenUsed/>
    <w:rsid w:val="00630EF4"/>
    <w:rPr>
      <w:b/>
      <w:bCs/>
    </w:rPr>
  </w:style>
  <w:style w:type="character" w:customStyle="1" w:styleId="CommentSubjectChar1">
    <w:name w:val="Comment Subject Char1"/>
    <w:basedOn w:val="CommentTextChar"/>
    <w:uiPriority w:val="99"/>
    <w:semiHidden/>
    <w:rsid w:val="00630EF4"/>
    <w:rPr>
      <w:rFonts w:asciiTheme="minorHAnsi" w:eastAsiaTheme="minorHAnsi" w:hAnsiTheme="minorHAnsi" w:cstheme="minorBidi"/>
      <w:b/>
      <w:bCs/>
      <w:lang w:eastAsia="en-US"/>
    </w:rPr>
  </w:style>
  <w:style w:type="character" w:styleId="CommentReference">
    <w:name w:val="annotation reference"/>
    <w:basedOn w:val="DefaultParagraphFont"/>
    <w:uiPriority w:val="99"/>
    <w:semiHidden/>
    <w:unhideWhenUsed/>
    <w:rsid w:val="00630EF4"/>
    <w:rPr>
      <w:sz w:val="16"/>
      <w:szCs w:val="16"/>
    </w:rPr>
  </w:style>
  <w:style w:type="character" w:styleId="UnresolvedMention">
    <w:name w:val="Unresolved Mention"/>
    <w:basedOn w:val="DefaultParagraphFont"/>
    <w:uiPriority w:val="99"/>
    <w:semiHidden/>
    <w:unhideWhenUsed/>
    <w:rsid w:val="00630EF4"/>
    <w:rPr>
      <w:color w:val="605E5C"/>
      <w:shd w:val="clear" w:color="auto" w:fill="E1DFDD"/>
    </w:rPr>
  </w:style>
  <w:style w:type="character" w:styleId="FollowedHyperlink">
    <w:name w:val="FollowedHyperlink"/>
    <w:basedOn w:val="DefaultParagraphFont"/>
    <w:uiPriority w:val="99"/>
    <w:semiHidden/>
    <w:unhideWhenUsed/>
    <w:rsid w:val="00630EF4"/>
    <w:rPr>
      <w:color w:val="800080" w:themeColor="followedHyperlink"/>
      <w:u w:val="single"/>
    </w:rPr>
  </w:style>
  <w:style w:type="paragraph" w:styleId="Revision">
    <w:name w:val="Revision"/>
    <w:hidden/>
    <w:uiPriority w:val="99"/>
    <w:semiHidden/>
    <w:rsid w:val="00630EF4"/>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96194A"/>
    <w:rPr>
      <w:rFonts w:ascii="Times New Roman" w:hAnsi="Times New Roman" w:cs="Times New Roman"/>
      <w:b/>
      <w:bCs/>
      <w:color w:val="1F3763"/>
      <w:sz w:val="16"/>
      <w:szCs w:val="16"/>
      <w:lang w:val="en-US" w:eastAsia="en-US"/>
    </w:rPr>
  </w:style>
  <w:style w:type="paragraph" w:styleId="Caption">
    <w:name w:val="caption"/>
    <w:basedOn w:val="BodyText"/>
    <w:next w:val="BodyText"/>
    <w:uiPriority w:val="35"/>
    <w:unhideWhenUsed/>
    <w:qFormat/>
    <w:rsid w:val="00537326"/>
    <w:pPr>
      <w:spacing w:after="200" w:line="240" w:lineRule="auto"/>
    </w:pPr>
    <w:rPr>
      <w:iCs/>
      <w:szCs w:val="18"/>
    </w:rPr>
  </w:style>
  <w:style w:type="paragraph" w:styleId="ListBullet">
    <w:name w:val="List Bullet"/>
    <w:basedOn w:val="Normal"/>
    <w:uiPriority w:val="99"/>
    <w:unhideWhenUsed/>
    <w:rsid w:val="00537326"/>
    <w:pPr>
      <w:numPr>
        <w:numId w:val="2"/>
      </w:numPr>
      <w:spacing w:after="240" w:line="260" w:lineRule="exact"/>
      <w:ind w:left="357" w:hanging="357"/>
      <w:contextualSpacing/>
      <w:jc w:val="both"/>
    </w:pPr>
    <w:rPr>
      <w:rFonts w:ascii="Times New Roman" w:eastAsia="Times New Roman" w:hAnsi="Times New Roman" w:cs="Times New Roman"/>
      <w:szCs w:val="24"/>
      <w:lang w:bidi="he-IL"/>
    </w:rPr>
  </w:style>
  <w:style w:type="paragraph" w:styleId="Title">
    <w:name w:val="Title"/>
    <w:basedOn w:val="Normal"/>
    <w:next w:val="Normal"/>
    <w:link w:val="TitleChar"/>
    <w:uiPriority w:val="10"/>
    <w:rsid w:val="00537326"/>
    <w:pPr>
      <w:keepNext/>
      <w:keepLines/>
      <w:spacing w:before="480" w:after="120"/>
    </w:pPr>
    <w:rPr>
      <w:rFonts w:ascii="Calibri" w:eastAsia="Calibri" w:hAnsi="Calibri" w:cs="Calibri"/>
      <w:b/>
      <w:sz w:val="72"/>
      <w:szCs w:val="72"/>
      <w:lang w:eastAsia="en-ZA"/>
    </w:rPr>
  </w:style>
  <w:style w:type="character" w:customStyle="1" w:styleId="TitleChar">
    <w:name w:val="Title Char"/>
    <w:basedOn w:val="DefaultParagraphFont"/>
    <w:link w:val="Title"/>
    <w:uiPriority w:val="10"/>
    <w:rsid w:val="00537326"/>
    <w:rPr>
      <w:rFonts w:eastAsia="Calibri" w:cs="Calibri"/>
      <w:b/>
      <w:sz w:val="72"/>
      <w:szCs w:val="72"/>
      <w:lang w:eastAsia="en-ZA"/>
    </w:rPr>
  </w:style>
  <w:style w:type="paragraph" w:styleId="NormalWeb">
    <w:name w:val="Normal (Web)"/>
    <w:basedOn w:val="Normal"/>
    <w:uiPriority w:val="99"/>
    <w:semiHidden/>
    <w:unhideWhenUsed/>
    <w:rsid w:val="00537326"/>
    <w:rPr>
      <w:rFonts w:ascii="Times New Roman" w:eastAsia="Calibri" w:hAnsi="Times New Roman" w:cs="Times New Roman"/>
      <w:sz w:val="24"/>
      <w:szCs w:val="24"/>
      <w:lang w:eastAsia="en-ZA"/>
    </w:rPr>
  </w:style>
  <w:style w:type="paragraph" w:styleId="Subtitle">
    <w:name w:val="Subtitle"/>
    <w:basedOn w:val="Normal"/>
    <w:next w:val="Normal"/>
    <w:link w:val="SubtitleChar"/>
    <w:uiPriority w:val="11"/>
    <w:rsid w:val="00537326"/>
    <w:pPr>
      <w:keepNext/>
      <w:keepLines/>
      <w:spacing w:before="360" w:after="80"/>
    </w:pPr>
    <w:rPr>
      <w:rFonts w:ascii="Georgia" w:eastAsia="Georgia" w:hAnsi="Georgia" w:cs="Georgia"/>
      <w:i/>
      <w:color w:val="666666"/>
      <w:sz w:val="48"/>
      <w:szCs w:val="48"/>
      <w:lang w:eastAsia="en-ZA"/>
    </w:rPr>
  </w:style>
  <w:style w:type="character" w:customStyle="1" w:styleId="SubtitleChar">
    <w:name w:val="Subtitle Char"/>
    <w:basedOn w:val="DefaultParagraphFont"/>
    <w:link w:val="Subtitle"/>
    <w:uiPriority w:val="11"/>
    <w:rsid w:val="00537326"/>
    <w:rPr>
      <w:rFonts w:ascii="Georgia" w:eastAsia="Georgia" w:hAnsi="Georgia" w:cs="Georgia"/>
      <w:i/>
      <w:color w:val="666666"/>
      <w:sz w:val="48"/>
      <w:szCs w:val="48"/>
      <w:lang w:eastAsia="en-ZA"/>
    </w:rPr>
  </w:style>
  <w:style w:type="paragraph" w:styleId="NoSpacing">
    <w:name w:val="No Spacing"/>
    <w:uiPriority w:val="1"/>
    <w:qFormat/>
    <w:rsid w:val="00537326"/>
    <w:rPr>
      <w:rFonts w:eastAsia="Calibri" w:cs="Calibri"/>
      <w:sz w:val="22"/>
      <w:szCs w:val="22"/>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75282">
      <w:bodyDiv w:val="1"/>
      <w:marLeft w:val="0"/>
      <w:marRight w:val="0"/>
      <w:marTop w:val="0"/>
      <w:marBottom w:val="0"/>
      <w:divBdr>
        <w:top w:val="none" w:sz="0" w:space="0" w:color="auto"/>
        <w:left w:val="none" w:sz="0" w:space="0" w:color="auto"/>
        <w:bottom w:val="none" w:sz="0" w:space="0" w:color="auto"/>
        <w:right w:val="none" w:sz="0" w:space="0" w:color="auto"/>
      </w:divBdr>
      <w:divsChild>
        <w:div w:id="2075539552">
          <w:marLeft w:val="0"/>
          <w:marRight w:val="0"/>
          <w:marTop w:val="0"/>
          <w:marBottom w:val="0"/>
          <w:divBdr>
            <w:top w:val="none" w:sz="0" w:space="0" w:color="auto"/>
            <w:left w:val="none" w:sz="0" w:space="0" w:color="auto"/>
            <w:bottom w:val="none" w:sz="0" w:space="0" w:color="auto"/>
            <w:right w:val="none" w:sz="0" w:space="0" w:color="auto"/>
          </w:divBdr>
          <w:divsChild>
            <w:div w:id="182135961">
              <w:marLeft w:val="0"/>
              <w:marRight w:val="0"/>
              <w:marTop w:val="120"/>
              <w:marBottom w:val="0"/>
              <w:divBdr>
                <w:top w:val="none" w:sz="0" w:space="0" w:color="auto"/>
                <w:left w:val="none" w:sz="0" w:space="0" w:color="auto"/>
                <w:bottom w:val="none" w:sz="0" w:space="0" w:color="auto"/>
                <w:right w:val="none" w:sz="0" w:space="0" w:color="auto"/>
              </w:divBdr>
            </w:div>
          </w:divsChild>
        </w:div>
        <w:div w:id="289701438">
          <w:marLeft w:val="0"/>
          <w:marRight w:val="0"/>
          <w:marTop w:val="0"/>
          <w:marBottom w:val="300"/>
          <w:divBdr>
            <w:top w:val="single" w:sz="6" w:space="0" w:color="CCCCCC"/>
            <w:left w:val="none" w:sz="0" w:space="0" w:color="auto"/>
            <w:bottom w:val="none" w:sz="0" w:space="0" w:color="auto"/>
            <w:right w:val="none" w:sz="0" w:space="0" w:color="auto"/>
          </w:divBdr>
          <w:divsChild>
            <w:div w:id="1063723228">
              <w:marLeft w:val="0"/>
              <w:marRight w:val="0"/>
              <w:marTop w:val="0"/>
              <w:marBottom w:val="0"/>
              <w:divBdr>
                <w:top w:val="none" w:sz="0" w:space="0" w:color="auto"/>
                <w:left w:val="none" w:sz="0" w:space="0" w:color="auto"/>
                <w:bottom w:val="none" w:sz="0" w:space="0" w:color="auto"/>
                <w:right w:val="none" w:sz="0" w:space="0" w:color="auto"/>
              </w:divBdr>
              <w:divsChild>
                <w:div w:id="1522746945">
                  <w:marLeft w:val="0"/>
                  <w:marRight w:val="0"/>
                  <w:marTop w:val="0"/>
                  <w:marBottom w:val="0"/>
                  <w:divBdr>
                    <w:top w:val="none" w:sz="0" w:space="0" w:color="auto"/>
                    <w:left w:val="none" w:sz="0" w:space="0" w:color="auto"/>
                    <w:bottom w:val="none" w:sz="0" w:space="0" w:color="auto"/>
                    <w:right w:val="none" w:sz="0" w:space="0" w:color="auto"/>
                  </w:divBdr>
                  <w:divsChild>
                    <w:div w:id="334457399">
                      <w:marLeft w:val="0"/>
                      <w:marRight w:val="0"/>
                      <w:marTop w:val="0"/>
                      <w:marBottom w:val="0"/>
                      <w:divBdr>
                        <w:top w:val="none" w:sz="0" w:space="0" w:color="auto"/>
                        <w:left w:val="none" w:sz="0" w:space="0" w:color="auto"/>
                        <w:bottom w:val="none" w:sz="0" w:space="0" w:color="auto"/>
                        <w:right w:val="none" w:sz="0" w:space="0" w:color="auto"/>
                      </w:divBdr>
                      <w:divsChild>
                        <w:div w:id="2040666444">
                          <w:marLeft w:val="0"/>
                          <w:marRight w:val="0"/>
                          <w:marTop w:val="0"/>
                          <w:marBottom w:val="0"/>
                          <w:divBdr>
                            <w:top w:val="none" w:sz="0" w:space="0" w:color="auto"/>
                            <w:left w:val="none" w:sz="0" w:space="0" w:color="auto"/>
                            <w:bottom w:val="none" w:sz="0" w:space="0" w:color="auto"/>
                            <w:right w:val="none" w:sz="0" w:space="0" w:color="auto"/>
                          </w:divBdr>
                          <w:divsChild>
                            <w:div w:id="1020082309">
                              <w:marLeft w:val="0"/>
                              <w:marRight w:val="0"/>
                              <w:marTop w:val="0"/>
                              <w:marBottom w:val="0"/>
                              <w:divBdr>
                                <w:top w:val="none" w:sz="0" w:space="0" w:color="auto"/>
                                <w:left w:val="none" w:sz="0" w:space="0" w:color="auto"/>
                                <w:bottom w:val="none" w:sz="0" w:space="0" w:color="auto"/>
                                <w:right w:val="none" w:sz="0" w:space="0" w:color="auto"/>
                              </w:divBdr>
                              <w:divsChild>
                                <w:div w:id="1554459969">
                                  <w:marLeft w:val="1125"/>
                                  <w:marRight w:val="0"/>
                                  <w:marTop w:val="0"/>
                                  <w:marBottom w:val="0"/>
                                  <w:divBdr>
                                    <w:top w:val="none" w:sz="0" w:space="0" w:color="auto"/>
                                    <w:left w:val="none" w:sz="0" w:space="0" w:color="auto"/>
                                    <w:bottom w:val="none" w:sz="0" w:space="0" w:color="auto"/>
                                    <w:right w:val="none" w:sz="0" w:space="0" w:color="auto"/>
                                  </w:divBdr>
                                  <w:divsChild>
                                    <w:div w:id="1899825459">
                                      <w:marLeft w:val="0"/>
                                      <w:marRight w:val="0"/>
                                      <w:marTop w:val="75"/>
                                      <w:marBottom w:val="0"/>
                                      <w:divBdr>
                                        <w:top w:val="none" w:sz="0" w:space="0" w:color="auto"/>
                                        <w:left w:val="none" w:sz="0" w:space="0" w:color="auto"/>
                                        <w:bottom w:val="none" w:sz="0" w:space="0" w:color="auto"/>
                                        <w:right w:val="none" w:sz="0" w:space="0" w:color="auto"/>
                                      </w:divBdr>
                                      <w:divsChild>
                                        <w:div w:id="1189756241">
                                          <w:marLeft w:val="0"/>
                                          <w:marRight w:val="0"/>
                                          <w:marTop w:val="0"/>
                                          <w:marBottom w:val="0"/>
                                          <w:divBdr>
                                            <w:top w:val="none" w:sz="0" w:space="0" w:color="auto"/>
                                            <w:left w:val="none" w:sz="0" w:space="0" w:color="auto"/>
                                            <w:bottom w:val="none" w:sz="0" w:space="0" w:color="auto"/>
                                            <w:right w:val="none" w:sz="0" w:space="0" w:color="auto"/>
                                          </w:divBdr>
                                          <w:divsChild>
                                            <w:div w:id="1507358088">
                                              <w:marLeft w:val="0"/>
                                              <w:marRight w:val="0"/>
                                              <w:marTop w:val="0"/>
                                              <w:marBottom w:val="0"/>
                                              <w:divBdr>
                                                <w:top w:val="none" w:sz="0" w:space="0" w:color="auto"/>
                                                <w:left w:val="none" w:sz="0" w:space="0" w:color="auto"/>
                                                <w:bottom w:val="none" w:sz="0" w:space="0" w:color="auto"/>
                                                <w:right w:val="none" w:sz="0" w:space="0" w:color="auto"/>
                                              </w:divBdr>
                                            </w:div>
                                            <w:div w:id="236866479">
                                              <w:marLeft w:val="0"/>
                                              <w:marRight w:val="0"/>
                                              <w:marTop w:val="0"/>
                                              <w:marBottom w:val="0"/>
                                              <w:divBdr>
                                                <w:top w:val="none" w:sz="0" w:space="0" w:color="auto"/>
                                                <w:left w:val="none" w:sz="0" w:space="0" w:color="auto"/>
                                                <w:bottom w:val="none" w:sz="0" w:space="0" w:color="auto"/>
                                                <w:right w:val="none" w:sz="0" w:space="0" w:color="auto"/>
                                              </w:divBdr>
                                            </w:div>
                                            <w:div w:id="1479877309">
                                              <w:marLeft w:val="0"/>
                                              <w:marRight w:val="0"/>
                                              <w:marTop w:val="60"/>
                                              <w:marBottom w:val="15"/>
                                              <w:divBdr>
                                                <w:top w:val="none" w:sz="0" w:space="0" w:color="auto"/>
                                                <w:left w:val="none" w:sz="0" w:space="0" w:color="auto"/>
                                                <w:bottom w:val="none" w:sz="0" w:space="0" w:color="auto"/>
                                                <w:right w:val="none" w:sz="0" w:space="0" w:color="auto"/>
                                              </w:divBdr>
                                              <w:divsChild>
                                                <w:div w:id="6479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1983">
                                      <w:marLeft w:val="0"/>
                                      <w:marRight w:val="0"/>
                                      <w:marTop w:val="0"/>
                                      <w:marBottom w:val="0"/>
                                      <w:divBdr>
                                        <w:top w:val="none" w:sz="0" w:space="0" w:color="auto"/>
                                        <w:left w:val="none" w:sz="0" w:space="0" w:color="auto"/>
                                        <w:bottom w:val="none" w:sz="0" w:space="0" w:color="auto"/>
                                        <w:right w:val="none" w:sz="0" w:space="0" w:color="auto"/>
                                      </w:divBdr>
                                      <w:divsChild>
                                        <w:div w:id="1312365430">
                                          <w:marLeft w:val="0"/>
                                          <w:marRight w:val="0"/>
                                          <w:marTop w:val="0"/>
                                          <w:marBottom w:val="0"/>
                                          <w:divBdr>
                                            <w:top w:val="none" w:sz="0" w:space="0" w:color="auto"/>
                                            <w:left w:val="none" w:sz="0" w:space="0" w:color="auto"/>
                                            <w:bottom w:val="none" w:sz="0" w:space="0" w:color="auto"/>
                                            <w:right w:val="none" w:sz="0" w:space="0" w:color="auto"/>
                                          </w:divBdr>
                                          <w:divsChild>
                                            <w:div w:id="18906512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41230544">
                              <w:marLeft w:val="0"/>
                              <w:marRight w:val="0"/>
                              <w:marTop w:val="0"/>
                              <w:marBottom w:val="0"/>
                              <w:divBdr>
                                <w:top w:val="none" w:sz="0" w:space="0" w:color="auto"/>
                                <w:left w:val="none" w:sz="0" w:space="0" w:color="auto"/>
                                <w:bottom w:val="none" w:sz="0" w:space="0" w:color="auto"/>
                                <w:right w:val="none" w:sz="0" w:space="0" w:color="auto"/>
                              </w:divBdr>
                              <w:divsChild>
                                <w:div w:id="1346516240">
                                  <w:marLeft w:val="0"/>
                                  <w:marRight w:val="0"/>
                                  <w:marTop w:val="0"/>
                                  <w:marBottom w:val="0"/>
                                  <w:divBdr>
                                    <w:top w:val="none" w:sz="0" w:space="0" w:color="auto"/>
                                    <w:left w:val="none" w:sz="0" w:space="0" w:color="auto"/>
                                    <w:bottom w:val="none" w:sz="0" w:space="0" w:color="auto"/>
                                    <w:right w:val="none" w:sz="0" w:space="0" w:color="auto"/>
                                  </w:divBdr>
                                  <w:divsChild>
                                    <w:div w:id="342517172">
                                      <w:marLeft w:val="0"/>
                                      <w:marRight w:val="0"/>
                                      <w:marTop w:val="0"/>
                                      <w:marBottom w:val="0"/>
                                      <w:divBdr>
                                        <w:top w:val="none" w:sz="0" w:space="0" w:color="auto"/>
                                        <w:left w:val="none" w:sz="0" w:space="0" w:color="auto"/>
                                        <w:bottom w:val="none" w:sz="0" w:space="0" w:color="auto"/>
                                        <w:right w:val="none" w:sz="0" w:space="0" w:color="auto"/>
                                      </w:divBdr>
                                      <w:divsChild>
                                        <w:div w:id="2523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975268">
              <w:marLeft w:val="0"/>
              <w:marRight w:val="0"/>
              <w:marTop w:val="0"/>
              <w:marBottom w:val="0"/>
              <w:divBdr>
                <w:top w:val="none" w:sz="0" w:space="0" w:color="auto"/>
                <w:left w:val="none" w:sz="0" w:space="0" w:color="auto"/>
                <w:bottom w:val="none" w:sz="0" w:space="0" w:color="auto"/>
                <w:right w:val="none" w:sz="0" w:space="0" w:color="auto"/>
              </w:divBdr>
              <w:divsChild>
                <w:div w:id="1070275455">
                  <w:marLeft w:val="0"/>
                  <w:marRight w:val="0"/>
                  <w:marTop w:val="0"/>
                  <w:marBottom w:val="0"/>
                  <w:divBdr>
                    <w:top w:val="none" w:sz="0" w:space="0" w:color="auto"/>
                    <w:left w:val="none" w:sz="0" w:space="0" w:color="auto"/>
                    <w:bottom w:val="none" w:sz="0" w:space="0" w:color="auto"/>
                    <w:right w:val="none" w:sz="0" w:space="0" w:color="auto"/>
                  </w:divBdr>
                  <w:divsChild>
                    <w:div w:id="1180513085">
                      <w:marLeft w:val="0"/>
                      <w:marRight w:val="0"/>
                      <w:marTop w:val="0"/>
                      <w:marBottom w:val="0"/>
                      <w:divBdr>
                        <w:top w:val="none" w:sz="0" w:space="0" w:color="auto"/>
                        <w:left w:val="none" w:sz="0" w:space="0" w:color="auto"/>
                        <w:bottom w:val="none" w:sz="0" w:space="0" w:color="auto"/>
                        <w:right w:val="none" w:sz="0" w:space="0" w:color="auto"/>
                      </w:divBdr>
                      <w:divsChild>
                        <w:div w:id="6467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rgenproject.org/top-10-facts-about-girls-education-in-ghana/%3e%206" TargetMode="External"/><Relationship Id="rId18" Type="http://schemas.openxmlformats.org/officeDocument/2006/relationships/hyperlink" Target="https://giwps.georgetown.edu/wp-content/uploads/2017/09/Women-and-Climate-Change.pdf" TargetMode="External"/><Relationship Id="rId26" Type="http://schemas.openxmlformats.org/officeDocument/2006/relationships/hyperlink" Target="https://wedo.org/wp-content/uploads/ghana-case-study.pdf" TargetMode="External"/><Relationship Id="rId39" Type="http://schemas.openxmlformats.org/officeDocument/2006/relationships/hyperlink" Target="https://asiapacific.unwomen.org/en/focus-areas/governance/political-participation-of%20women%23:~:text=Women's%20political%20participation%20is%20a,ensuring%20better%20accountability%20to%20women" TargetMode="External"/><Relationship Id="rId21" Type="http://schemas.openxmlformats.org/officeDocument/2006/relationships/hyperlink" Target="https://scholarsbank.uoregon.edu/xmlui/handle/1794/26828" TargetMode="External"/><Relationship Id="rId34" Type="http://schemas.openxmlformats.org/officeDocument/2006/relationships/hyperlink" Target="http://www.ipu.org"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2158244020941472" TargetMode="External"/><Relationship Id="rId29" Type="http://schemas.openxmlformats.org/officeDocument/2006/relationships/hyperlink" Target="https://genderdata.worldbank.org/countries/gh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org/en/location/africa/report-africa/" TargetMode="External"/><Relationship Id="rId24" Type="http://schemas.openxmlformats.org/officeDocument/2006/relationships/hyperlink" Target="https://www.globalpartnership.org/blog/girls-education-ghana-fighting-barriers-beyond-gender-parity" TargetMode="External"/><Relationship Id="rId32" Type="http://schemas.openxmlformats.org/officeDocument/2006/relationships/hyperlink" Target="https://library.fes.de/pdf-files/bueros/ghana/10484.pdf" TargetMode="External"/><Relationship Id="rId37" Type="http://schemas.openxmlformats.org/officeDocument/2006/relationships/hyperlink" Target="https://www.ohchr.org/sites/default/files/Documents/Issues/Women/WRGS/OHCHR-StrategicLitigationforSV-workshopreport-web.pdf" TargetMode="External"/><Relationship Id="rId40" Type="http://schemas.openxmlformats.org/officeDocument/2006/relationships/hyperlink" Target="https://www.wfd.org/sites/default/files/2022-02/Cost_Of_Politics_Ghana.pdf"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heconversation.com/women-in-ghana-progress-but-important-challenges-remain-130065" TargetMode="External"/><Relationship Id="rId23" Type="http://schemas.openxmlformats.org/officeDocument/2006/relationships/hyperlink" Target="https://www.worldbank.org/en/news/press-release/2022/03/01/nearly-2-4-billion-women-globally-don-t-have-same-economic-rights-as-men" TargetMode="External"/><Relationship Id="rId28" Type="http://schemas.openxmlformats.org/officeDocument/2006/relationships/hyperlink" Target="https://plan-international.org/case-studies/4-steps-to-advance-digital-equality-for-girls/" TargetMode="External"/><Relationship Id="rId36" Type="http://schemas.openxmlformats.org/officeDocument/2006/relationships/hyperlink" Target="https://www.undp.org/sites/g/files/zskgke326/files/publications/Resource.pdf" TargetMode="External"/><Relationship Id="rId10" Type="http://schemas.openxmlformats.org/officeDocument/2006/relationships/hyperlink" Target="https://www.usip.org/sites/default/files/Gender/African_Union_Gender_Policy_2009.pdf" TargetMode="External"/><Relationship Id="rId19" Type="http://schemas.openxmlformats.org/officeDocument/2006/relationships/hyperlink" Target="https://www.iicba.unesco.org/en/node/100" TargetMode="External"/><Relationship Id="rId31" Type="http://schemas.openxmlformats.org/officeDocument/2006/relationships/hyperlink" Target="https://www.ilo.org/global/about-the-ilo/newsroom/news/WCMS_566891/lang--en/index.ht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hanatoday.gov.gh/opinion/affirmative-action-the-guaranteed-way-to-increasing-womens-representation-in-decision-making-spaces-in-ghana/" TargetMode="External"/><Relationship Id="rId14" Type="http://schemas.openxmlformats.org/officeDocument/2006/relationships/hyperlink" Target="http://dx.doi.org/10.1080/13510347.2011.605998" TargetMode="External"/><Relationship Id="rId22" Type="http://schemas.openxmlformats.org/officeDocument/2006/relationships/hyperlink" Target="ftp://ftp.fao.org/docrep/fao/010/ai021e/ai021e00.pdf" TargetMode="External"/><Relationship Id="rId27" Type="http://schemas.openxmlformats.org/officeDocument/2006/relationships/hyperlink" Target="http://www.oecd.org/tax/forum-on-tax-administration/publications-and-products/advancing-gender-balance-in-theworkforce-a-collective-responsibility.htm" TargetMode="External"/><Relationship Id="rId30" Type="http://schemas.openxmlformats.org/officeDocument/2006/relationships/hyperlink" Target="https://chraj.gov.gh/wp-content/uploads/2022/05/Baseline-Study-Report-Access-to-Justice-Project.pdf" TargetMode="External"/><Relationship Id="rId35" Type="http://schemas.openxmlformats.org/officeDocument/2006/relationships/hyperlink" Target="https://uis.unesco.org/en/country/gh?theme=education-and-literacy"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orcid.org/0000-0001-5029-0286" TargetMode="External"/><Relationship Id="rId3" Type="http://schemas.openxmlformats.org/officeDocument/2006/relationships/styles" Target="styles.xml"/><Relationship Id="rId12" Type="http://schemas.openxmlformats.org/officeDocument/2006/relationships/hyperlink" Target="https://www.apc.org/en/pubs/digital-rights-are-womens-rights" TargetMode="External"/><Relationship Id="rId17" Type="http://schemas.openxmlformats.org/officeDocument/2006/relationships/hyperlink" Target="https://www.millenniumassessment.org/documents/document.354.aspx.pdf" TargetMode="External"/><Relationship Id="rId25" Type="http://schemas.openxmlformats.org/officeDocument/2006/relationships/hyperlink" Target="https://www.washingtonpost.com/news/monkey-cage/wp/2018/10/11/on-the-international-day-of-the-girl-its-a-good-time-to-ask-are-girls-safe-in-schools/" TargetMode="External"/><Relationship Id="rId33" Type="http://schemas.openxmlformats.org/officeDocument/2006/relationships/hyperlink" Target="https://www.un.org/womenwatch/feature/climate_change/downloads/Women_and_Climate_Change_Factsheet.pdf" TargetMode="External"/><Relationship Id="rId38" Type="http://schemas.openxmlformats.org/officeDocument/2006/relationships/hyperlink" Target="https://www.icnl.org/wp-content/uploads/Final-Communique-UN-Consultation-Africa.pdf" TargetMode="External"/><Relationship Id="rId46" Type="http://schemas.openxmlformats.org/officeDocument/2006/relationships/footer" Target="footer3.xml"/><Relationship Id="rId20" Type="http://schemas.openxmlformats.org/officeDocument/2006/relationships/hyperlink" Target="https://africafeeds.com/2018/11/07/opinion-make-sanitary-pads-zero-tax-in-ghana/" TargetMode="External"/><Relationship Id="rId41"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2.png"/><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3" Type="http://schemas.openxmlformats.org/officeDocument/2006/relationships/hyperlink" Target="https://asiapacific.unwomen.org/en/focus-areas/governance/political-participation-of-women" TargetMode="External"/><Relationship Id="rId18" Type="http://schemas.openxmlformats.org/officeDocument/2006/relationships/hyperlink" Target="https://www.iicba.unesco.org/en/node/100" TargetMode="External"/><Relationship Id="rId26" Type="http://schemas.openxmlformats.org/officeDocument/2006/relationships/hyperlink" Target="https://www.millenniumassessment.org/documents/document.354.aspx.pdf" TargetMode="External"/><Relationship Id="rId39" Type="http://schemas.openxmlformats.org/officeDocument/2006/relationships/hyperlink" Target="https://www.worldbank.org/en/news/press-release/2022/03/01/nearly-2-4-billion-women-globally-don-t-have-same-economic-rights-as-men" TargetMode="External"/><Relationship Id="rId21" Type="http://schemas.openxmlformats.org/officeDocument/2006/relationships/hyperlink" Target="https://africafeeds.com/2018/11/07/opinion-make-sanitary-pads-zero-tax-in-ghana/" TargetMode="External"/><Relationship Id="rId34" Type="http://schemas.openxmlformats.org/officeDocument/2006/relationships/hyperlink" Target="http://www.oecd.org/tax/forum-on-tax-administration/publications-and-products/advancing-gender-balance-in-theworkforce-a-collective-responsibility.htm" TargetMode="External"/><Relationship Id="rId7" Type="http://schemas.openxmlformats.org/officeDocument/2006/relationships/hyperlink" Target="https://doi.org/10.1186/s12884-021-03643-6" TargetMode="External"/><Relationship Id="rId2" Type="http://schemas.openxmlformats.org/officeDocument/2006/relationships/hyperlink" Target="https://chraj.gov.gh/wp-content/uploads/2022/05/Baseline-Study-Report-Access-to-Justice-Project.pdf" TargetMode="External"/><Relationship Id="rId16" Type="http://schemas.openxmlformats.org/officeDocument/2006/relationships/hyperlink" Target="https://www.indexmundi.com/facts/ghana/ratio-of-girls-to-boys-in-primary-and-secondary-education" TargetMode="External"/><Relationship Id="rId20" Type="http://schemas.openxmlformats.org/officeDocument/2006/relationships/hyperlink" Target="https://www.washingtonpost.com/news/monkey-cage/wp/2018/10/11/on-the-international-day-of-the-girl-its-a-good-time-to-ask-are-girls-safe-in-schools/" TargetMode="External"/><Relationship Id="rId29" Type="http://schemas.openxmlformats.org/officeDocument/2006/relationships/hyperlink" Target="https://www.hiig.de/wp-content/uploads/2023/05/HIIG_DP_2023_2_BABO_ODAME.pdf" TargetMode="External"/><Relationship Id="rId41" Type="http://schemas.openxmlformats.org/officeDocument/2006/relationships/hyperlink" Target="https://redress.org/wp-content/uploads/2021/06/20210709-Practice-Note-2-for-digital-A5.pdf" TargetMode="External"/><Relationship Id="rId1" Type="http://schemas.openxmlformats.org/officeDocument/2006/relationships/hyperlink" Target="https://www.amnesty.org/en/location/africa/report-africa/" TargetMode="External"/><Relationship Id="rId6" Type="http://schemas.openxmlformats.org/officeDocument/2006/relationships/hyperlink" Target="https://www.globalpartnership.org/blog/girls-education-ghana-fighting-barriers-beyond-gender-parity" TargetMode="External"/><Relationship Id="rId11" Type="http://schemas.openxmlformats.org/officeDocument/2006/relationships/hyperlink" Target="http://www.ipu.org" TargetMode="External"/><Relationship Id="rId24" Type="http://schemas.openxmlformats.org/officeDocument/2006/relationships/hyperlink" Target="https://wedo.org/wp-content/uploads/ghana-case-study.pdf" TargetMode="External"/><Relationship Id="rId32" Type="http://schemas.openxmlformats.org/officeDocument/2006/relationships/hyperlink" Target="https://www.chr.up.ac.za/latest-news/3256-ghana-commits-to-submitting-outstanding-state-reports-to-the-african-commission-on-human-and-peoples-rights" TargetMode="External"/><Relationship Id="rId37" Type="http://schemas.openxmlformats.org/officeDocument/2006/relationships/hyperlink" Target="https://genderdata.worldbank.org/countries/ghana/" TargetMode="External"/><Relationship Id="rId40" Type="http://schemas.openxmlformats.org/officeDocument/2006/relationships/hyperlink" Target="https://www.ohchr.org/sites/default/files/Documents/Issues/Women/WRGS/OHCHR-StrategicLitigationforSV-workshopreport-web.pdf" TargetMode="External"/><Relationship Id="rId5" Type="http://schemas.openxmlformats.org/officeDocument/2006/relationships/hyperlink" Target="https://ghanatoday.gov.gh/opinion/affirmative-action-the-guaranteed-way-to-increasing-womens-representation-in-decision-making-spaces-in-ghana/" TargetMode="External"/><Relationship Id="rId15" Type="http://schemas.openxmlformats.org/officeDocument/2006/relationships/hyperlink" Target="https://www.wfd.org/sites/default/files/2022-02/Cost_Of_Politics_Ghana.pdf" TargetMode="External"/><Relationship Id="rId23" Type="http://schemas.openxmlformats.org/officeDocument/2006/relationships/hyperlink" Target="https://www.un.org/womenwatch/feature/climate_change/downloads/Women_and_Climate_Change_Factsheet.pdf" TargetMode="External"/><Relationship Id="rId28" Type="http://schemas.openxmlformats.org/officeDocument/2006/relationships/hyperlink" Target="https://scholarsbank.uoregon.edu/xmlui/handle/1794/26828" TargetMode="External"/><Relationship Id="rId36" Type="http://schemas.openxmlformats.org/officeDocument/2006/relationships/hyperlink" Target="https://www.apc.org/en/pubs/digital-rights-are-womens-rights" TargetMode="External"/><Relationship Id="rId10" Type="http://schemas.openxmlformats.org/officeDocument/2006/relationships/hyperlink" Target="https://www.un.org/womenwatch/daw/csw/csw51/statements/CH/UNITAR%20ICT%20event.pdf" TargetMode="External"/><Relationship Id="rId19" Type="http://schemas.openxmlformats.org/officeDocument/2006/relationships/hyperlink" Target="https://borgenproject.org/top-10-facts-about-girls-education-in-ghana/" TargetMode="External"/><Relationship Id="rId31" Type="http://schemas.openxmlformats.org/officeDocument/2006/relationships/hyperlink" Target="https://www.usip.org/sites/default/files/Gender/African_Union_Gender_Policy_2009.pdf" TargetMode="External"/><Relationship Id="rId4" Type="http://schemas.openxmlformats.org/officeDocument/2006/relationships/hyperlink" Target="https://library.fes.de/pdf-files/bueros/ghana/10484.pdf" TargetMode="External"/><Relationship Id="rId9" Type="http://schemas.openxmlformats.org/officeDocument/2006/relationships/hyperlink" Target="https://giwps.georgetown.edu/wp-content/uploads/2017/09/Women-and-Climate-Change.pdf" TargetMode="External"/><Relationship Id="rId14" Type="http://schemas.openxmlformats.org/officeDocument/2006/relationships/hyperlink" Target="http://dx.doi.org/10.1080/13510347.2011.605998" TargetMode="External"/><Relationship Id="rId22" Type="http://schemas.openxmlformats.org/officeDocument/2006/relationships/hyperlink" Target="http://www.iiste.org" TargetMode="External"/><Relationship Id="rId27" Type="http://schemas.openxmlformats.org/officeDocument/2006/relationships/hyperlink" Target="https://www.ohchr.org/en/statements/2012/01/united-nations-deputy-high-commissioner-human-rights-ms-kyung-wha-kang-human" TargetMode="External"/><Relationship Id="rId30" Type="http://schemas.openxmlformats.org/officeDocument/2006/relationships/hyperlink" Target="https://plan-international.org/case-studies/4-steps-to-advance-digital-equality-for-girls/" TargetMode="External"/><Relationship Id="rId35" Type="http://schemas.openxmlformats.org/officeDocument/2006/relationships/hyperlink" Target="https://www.internationalaffairs.org.au/australianoutlook/gender-ghanaian-politics-brief-analysis/" TargetMode="External"/><Relationship Id="rId8" Type="http://schemas.openxmlformats.org/officeDocument/2006/relationships/hyperlink" Target="https://www.icnl.org/wp-content/uploads/Final-Communique-UN-Consultation-Africa.pdfhttps://www.icnl.org/wp-content/uploads/Final-Communique-UN-Consultation-Africa.pdf" TargetMode="External"/><Relationship Id="rId3" Type="http://schemas.openxmlformats.org/officeDocument/2006/relationships/hyperlink" Target="https://theconversation.com/women-in-ghana-progress-but-important-challenges-remain-130065" TargetMode="External"/><Relationship Id="rId12" Type="http://schemas.openxmlformats.org/officeDocument/2006/relationships/hyperlink" Target="https://www.statista.com/statistics/1244930/share-of-female-seats-in-parliament-in-ghana/" TargetMode="External"/><Relationship Id="rId17" Type="http://schemas.openxmlformats.org/officeDocument/2006/relationships/hyperlink" Target="https://uis.unesco.org/en/country/gh?theme=education-and-literacy" TargetMode="External"/><Relationship Id="rId25" Type="http://schemas.openxmlformats.org/officeDocument/2006/relationships/hyperlink" Target="https://www.fao.org/3/ai021e/ai021e00.htm" TargetMode="External"/><Relationship Id="rId33" Type="http://schemas.openxmlformats.org/officeDocument/2006/relationships/hyperlink" Target="https://doi.org/10.1007/978-3-030-27049-0" TargetMode="External"/><Relationship Id="rId38" Type="http://schemas.openxmlformats.org/officeDocument/2006/relationships/hyperlink" Target="https://www.ilo.org/global/about-the-ilo/newsroom/news/WCMS_566891/lang--en/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20Rudolph\AppData\Local\Microsoft\Windows\INetCache\Content.Outlook\KNYYXYCQ\Template%20UnisaPressJournals%20OA%2027.01.202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1564-AEA6-4604-9135-C4ECAA03AD19}">
  <ds:schemaRefs>
    <ds:schemaRef ds:uri="http://schemas.openxmlformats.org/officeDocument/2006/bibliography"/>
  </ds:schemaRefs>
</ds:datastoreItem>
</file>

<file path=docMetadata/LabelInfo.xml><?xml version="1.0" encoding="utf-8"?>
<clbl:labelList xmlns:clbl="http://schemas.microsoft.com/office/2020/mipLabelMetadata">
  <clbl:label id="{ca9a8b8c-3ea3-4799-a43e-5510398e7a3b}" enabled="0" method="" siteId="{ca9a8b8c-3ea3-4799-a43e-5510398e7a3b}" removed="1"/>
</clbl:labelList>
</file>

<file path=docProps/app.xml><?xml version="1.0" encoding="utf-8"?>
<Properties xmlns="http://schemas.openxmlformats.org/officeDocument/2006/extended-properties" xmlns:vt="http://schemas.openxmlformats.org/officeDocument/2006/docPropsVTypes">
  <Template>Template UnisaPressJournals OA 27.01.2022 (003)</Template>
  <TotalTime>8</TotalTime>
  <Pages>1</Pages>
  <Words>8702</Words>
  <Characters>49604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58190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Rudolph</dc:creator>
  <cp:lastModifiedBy>Waldo Grové</cp:lastModifiedBy>
  <cp:revision>4</cp:revision>
  <cp:lastPrinted>2025-01-13T14:32:00Z</cp:lastPrinted>
  <dcterms:created xsi:type="dcterms:W3CDTF">2025-01-13T14:32:00Z</dcterms:created>
  <dcterms:modified xsi:type="dcterms:W3CDTF">2025-01-13T14:32:00Z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cle number">
    <vt:lpwstr>????</vt:lpwstr>
  </property>
  <property fmtid="{D5CDD505-2E9C-101B-9397-08002B2CF9AE}" pid="3" name="GrammarlyDocumentId">
    <vt:lpwstr>292cbf0710b0a83a7e2f00c636e611fd2db9a279054183d64de088ffc9fbf2ac</vt:lpwstr>
  </property>
</Properties>
</file>